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jc w:val="center"/>
      </w:pPr>
      <w:r>
        <w:rPr>
          <w:rFonts w:ascii="Arial" w:cs="Arial" w:eastAsia="Arial" w:hAnsi="Arial"/>
          <w:b/>
          <w:bCs/>
          <w:color w:val="888888"/>
          <w:sz w:val="24"/>
          <w:szCs w:val="24"/>
        </w:rPr>
        <w:t xml:space="preserve">AMG INSURANCE LICENSING</w:t>
      </w:r>
    </w:p>
    <w:p>
      <w:pPr>
        <w:spacing w:after="100" w:before="0"/>
        <w:jc w:val="center"/>
      </w:pPr>
      <w:r>
        <w:rPr>
          <w:rFonts w:ascii="Arial" w:cs="Arial" w:eastAsia="Arial" w:hAnsi="Arial"/>
          <w:b/>
          <w:bCs/>
          <w:color w:val="1F4E79"/>
          <w:sz w:val="52"/>
          <w:szCs w:val="52"/>
        </w:rPr>
        <w:t xml:space="preserve">Life Producer Study Guide</w:t>
      </w:r>
    </w:p>
    <w:p>
      <w:pPr>
        <w:spacing w:after="60" w:before="0"/>
        <w:jc w:val="center"/>
      </w:pPr>
      <w:r>
        <w:rPr>
          <w:rFonts w:ascii="Arial" w:cs="Arial" w:eastAsia="Arial" w:hAnsi="Arial"/>
          <w:color w:val="555555"/>
          <w:sz w:val="24"/>
          <w:szCs w:val="24"/>
        </w:rPr>
        <w:t xml:space="preserve">Life Producer Only  •  Maryland  •  90 Questions with Explanations</w:t>
      </w:r>
    </w:p>
    <w:p>
      <w:pPr>
        <w:spacing w:after="400" w:before="0"/>
        <w:jc w:val="center"/>
      </w:pPr>
      <w:r>
        <w:rPr>
          <w:rFonts w:ascii="Arial" w:cs="Arial" w:eastAsia="Arial" w:hAnsi="Arial"/>
          <w:i/>
          <w:iCs/>
          <w:color w:val="888888"/>
          <w:sz w:val="20"/>
          <w:szCs w:val="20"/>
        </w:rPr>
        <w:t xml:space="preserve">Correct answers are highlighted in green  •  Study the "Why" explanations to understand, not just memorize</w:t>
      </w:r>
    </w:p>
    <w:p>
      <w:r>
        <w:br w:type="page"/>
      </w:r>
    </w:p>
    <w:p>
      <w:pPr>
        <w:shd w:fill="1F4E79" w:val="clear"/>
        <w:spacing w:after="160" w:before="0"/>
      </w:pPr>
      <w:r>
        <w:rPr>
          <w:rFonts w:ascii="Arial" w:cs="Arial" w:eastAsia="Arial" w:hAnsi="Arial"/>
          <w:b/>
          <w:bCs/>
          <w:color w:val="FFFFFF"/>
          <w:sz w:val="28"/>
          <w:szCs w:val="28"/>
        </w:rPr>
        <w:t xml:space="preserve">  QUICK REFERENCE CHEAT SHEET</w:t>
      </w:r>
    </w:p>
    <w:p>
      <w:pPr>
        <w:spacing w:after="120" w:before="80"/>
      </w:pPr>
      <w:r>
        <w:rPr>
          <w:rFonts w:ascii="Arial" w:cs="Arial" w:eastAsia="Arial" w:hAnsi="Arial"/>
          <w:i/>
          <w:iCs/>
          <w:color w:val="888888"/>
          <w:sz w:val="20"/>
          <w:szCs w:val="20"/>
        </w:rPr>
        <w:t xml:space="preserve">Key numbers and facts to memorize before exam day.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1"/>
                <w:szCs w:val="21"/>
              </w:rPr>
              <w:t xml:space="preserve">Concept</w:t>
            </w:r>
          </w:p>
        </w:tc>
        <w:tc>
          <w:tcPr>
            <w:tcW w:type="dxa" w:w="468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21"/>
                <w:szCs w:val="21"/>
              </w:rPr>
              <w:t xml:space="preserve">Key Fact</w:t>
            </w:r>
          </w:p>
        </w:tc>
      </w:tr>
      <w:tr>
        <w:tc>
          <w:tcPr>
            <w:tcW w:type="dxa" w:w="4680"/>
            <w:tcBorders>
              <w:top w:val="single" w:color="CCCCCC" w:sz="1"/>
              <w:left w:val="single" w:color="CCCCCC" w:sz="1"/>
              <w:bottom w:val="single" w:color="CCCCCC" w:sz="1"/>
              <w:right w:val="single" w:color="CCCCCC" w:sz="1"/>
            </w:tcBorders>
            <w:shd w:fill="F0F6FB" w:val="clear"/>
            <w:tcMar>
              <w:top w:type="dxa" w:w="60"/>
              <w:left w:type="dxa" w:w="120"/>
              <w:bottom w:type="dxa" w:w="60"/>
              <w:right w:type="dxa" w:w="120"/>
            </w:tcMar>
          </w:tcPr>
          <w:p>
            <w:r>
              <w:rPr>
                <w:rFonts w:ascii="Arial" w:cs="Arial" w:eastAsia="Arial" w:hAnsi="Arial"/>
                <w:b/>
                <w:bCs/>
                <w:color w:val="1F4E79"/>
                <w:sz w:val="20"/>
                <w:szCs w:val="20"/>
              </w:rPr>
              <w:t xml:space="preserve">Grace Period</w:t>
            </w:r>
          </w:p>
        </w:tc>
        <w:tc>
          <w:tcPr>
            <w:tcW w:type="dxa" w:w="4680"/>
            <w:tcBorders>
              <w:top w:val="single" w:color="CCCCCC" w:sz="1"/>
              <w:left w:val="single" w:color="CCCCCC" w:sz="1"/>
              <w:bottom w:val="single" w:color="CCCCCC" w:sz="1"/>
              <w:right w:val="single" w:color="CCCCCC" w:sz="1"/>
            </w:tcBorders>
            <w:shd w:fill="F0F6FB" w:val="clear"/>
            <w:tcMar>
              <w:top w:type="dxa" w:w="60"/>
              <w:left w:type="dxa" w:w="120"/>
              <w:bottom w:type="dxa" w:w="60"/>
              <w:right w:type="dxa" w:w="120"/>
            </w:tcMar>
          </w:tcPr>
          <w:p>
            <w:r>
              <w:rPr>
                <w:rFonts w:ascii="Arial" w:cs="Arial" w:eastAsia="Arial" w:hAnsi="Arial"/>
                <w:sz w:val="20"/>
                <w:szCs w:val="20"/>
              </w:rPr>
              <w:t xml:space="preserve">31 days for life insurance</w:t>
            </w:r>
          </w:p>
        </w:tc>
      </w:tr>
      <w:tr>
        <w:tc>
          <w:tcPr>
            <w:tcW w:type="dxa" w:w="468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r>
              <w:rPr>
                <w:rFonts w:ascii="Arial" w:cs="Arial" w:eastAsia="Arial" w:hAnsi="Arial"/>
                <w:b/>
                <w:bCs/>
                <w:color w:val="1F4E79"/>
                <w:sz w:val="20"/>
                <w:szCs w:val="20"/>
              </w:rPr>
              <w:t xml:space="preserve">Free Look Period</w:t>
            </w:r>
          </w:p>
        </w:tc>
        <w:tc>
          <w:tcPr>
            <w:tcW w:type="dxa" w:w="468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r>
              <w:rPr>
                <w:rFonts w:ascii="Arial" w:cs="Arial" w:eastAsia="Arial" w:hAnsi="Arial"/>
                <w:sz w:val="20"/>
                <w:szCs w:val="20"/>
              </w:rPr>
              <w:t xml:space="preserve">10 days (most life policies)</w:t>
            </w:r>
          </w:p>
        </w:tc>
      </w:tr>
      <w:tr>
        <w:tc>
          <w:tcPr>
            <w:tcW w:type="dxa" w:w="4680"/>
            <w:tcBorders>
              <w:top w:val="single" w:color="CCCCCC" w:sz="1"/>
              <w:left w:val="single" w:color="CCCCCC" w:sz="1"/>
              <w:bottom w:val="single" w:color="CCCCCC" w:sz="1"/>
              <w:right w:val="single" w:color="CCCCCC" w:sz="1"/>
            </w:tcBorders>
            <w:shd w:fill="F0F6FB" w:val="clear"/>
            <w:tcMar>
              <w:top w:type="dxa" w:w="60"/>
              <w:left w:type="dxa" w:w="120"/>
              <w:bottom w:type="dxa" w:w="60"/>
              <w:right w:type="dxa" w:w="120"/>
            </w:tcMar>
          </w:tcPr>
          <w:p>
            <w:r>
              <w:rPr>
                <w:rFonts w:ascii="Arial" w:cs="Arial" w:eastAsia="Arial" w:hAnsi="Arial"/>
                <w:b/>
                <w:bCs/>
                <w:color w:val="1F4E79"/>
                <w:sz w:val="20"/>
                <w:szCs w:val="20"/>
              </w:rPr>
              <w:t xml:space="preserve">Incontestability Clause</w:t>
            </w:r>
          </w:p>
        </w:tc>
        <w:tc>
          <w:tcPr>
            <w:tcW w:type="dxa" w:w="4680"/>
            <w:tcBorders>
              <w:top w:val="single" w:color="CCCCCC" w:sz="1"/>
              <w:left w:val="single" w:color="CCCCCC" w:sz="1"/>
              <w:bottom w:val="single" w:color="CCCCCC" w:sz="1"/>
              <w:right w:val="single" w:color="CCCCCC" w:sz="1"/>
            </w:tcBorders>
            <w:shd w:fill="F0F6FB" w:val="clear"/>
            <w:tcMar>
              <w:top w:type="dxa" w:w="60"/>
              <w:left w:type="dxa" w:w="120"/>
              <w:bottom w:type="dxa" w:w="60"/>
              <w:right w:type="dxa" w:w="120"/>
            </w:tcMar>
          </w:tcPr>
          <w:p>
            <w:r>
              <w:rPr>
                <w:rFonts w:ascii="Arial" w:cs="Arial" w:eastAsia="Arial" w:hAnsi="Arial"/>
                <w:sz w:val="20"/>
                <w:szCs w:val="20"/>
              </w:rPr>
              <w:t xml:space="preserve">2 years from issue</w:t>
            </w:r>
          </w:p>
        </w:tc>
      </w:tr>
      <w:tr>
        <w:tc>
          <w:tcPr>
            <w:tcW w:type="dxa" w:w="468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r>
              <w:rPr>
                <w:rFonts w:ascii="Arial" w:cs="Arial" w:eastAsia="Arial" w:hAnsi="Arial"/>
                <w:b/>
                <w:bCs/>
                <w:color w:val="1F4E79"/>
                <w:sz w:val="20"/>
                <w:szCs w:val="20"/>
              </w:rPr>
              <w:t xml:space="preserve">Suicide Clause</w:t>
            </w:r>
          </w:p>
        </w:tc>
        <w:tc>
          <w:tcPr>
            <w:tcW w:type="dxa" w:w="468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r>
              <w:rPr>
                <w:rFonts w:ascii="Arial" w:cs="Arial" w:eastAsia="Arial" w:hAnsi="Arial"/>
                <w:sz w:val="20"/>
                <w:szCs w:val="20"/>
              </w:rPr>
              <w:t xml:space="preserve">1-2 years from issue (usually 2)</w:t>
            </w:r>
          </w:p>
        </w:tc>
      </w:tr>
      <w:tr>
        <w:tc>
          <w:tcPr>
            <w:tcW w:type="dxa" w:w="4680"/>
            <w:tcBorders>
              <w:top w:val="single" w:color="CCCCCC" w:sz="1"/>
              <w:left w:val="single" w:color="CCCCCC" w:sz="1"/>
              <w:bottom w:val="single" w:color="CCCCCC" w:sz="1"/>
              <w:right w:val="single" w:color="CCCCCC" w:sz="1"/>
            </w:tcBorders>
            <w:shd w:fill="F0F6FB" w:val="clear"/>
            <w:tcMar>
              <w:top w:type="dxa" w:w="60"/>
              <w:left w:type="dxa" w:w="120"/>
              <w:bottom w:type="dxa" w:w="60"/>
              <w:right w:type="dxa" w:w="120"/>
            </w:tcMar>
          </w:tcPr>
          <w:p>
            <w:r>
              <w:rPr>
                <w:rFonts w:ascii="Arial" w:cs="Arial" w:eastAsia="Arial" w:hAnsi="Arial"/>
                <w:b/>
                <w:bCs/>
                <w:color w:val="1F4E79"/>
                <w:sz w:val="20"/>
                <w:szCs w:val="20"/>
              </w:rPr>
              <w:t xml:space="preserve">Insurable Interest</w:t>
            </w:r>
          </w:p>
        </w:tc>
        <w:tc>
          <w:tcPr>
            <w:tcW w:type="dxa" w:w="4680"/>
            <w:tcBorders>
              <w:top w:val="single" w:color="CCCCCC" w:sz="1"/>
              <w:left w:val="single" w:color="CCCCCC" w:sz="1"/>
              <w:bottom w:val="single" w:color="CCCCCC" w:sz="1"/>
              <w:right w:val="single" w:color="CCCCCC" w:sz="1"/>
            </w:tcBorders>
            <w:shd w:fill="F0F6FB" w:val="clear"/>
            <w:tcMar>
              <w:top w:type="dxa" w:w="60"/>
              <w:left w:type="dxa" w:w="120"/>
              <w:bottom w:type="dxa" w:w="60"/>
              <w:right w:type="dxa" w:w="120"/>
            </w:tcMar>
          </w:tcPr>
          <w:p>
            <w:r>
              <w:rPr>
                <w:rFonts w:ascii="Arial" w:cs="Arial" w:eastAsia="Arial" w:hAnsi="Arial"/>
                <w:sz w:val="20"/>
                <w:szCs w:val="20"/>
              </w:rPr>
              <w:t xml:space="preserve">Must exist at inception (not at claim)</w:t>
            </w:r>
          </w:p>
        </w:tc>
      </w:tr>
      <w:tr>
        <w:tc>
          <w:tcPr>
            <w:tcW w:type="dxa" w:w="468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r>
              <w:rPr>
                <w:rFonts w:ascii="Arial" w:cs="Arial" w:eastAsia="Arial" w:hAnsi="Arial"/>
                <w:b/>
                <w:bCs/>
                <w:color w:val="1F4E79"/>
                <w:sz w:val="20"/>
                <w:szCs w:val="20"/>
              </w:rPr>
              <w:t xml:space="preserve">Conversion Privilege (Group)</w:t>
            </w:r>
          </w:p>
        </w:tc>
        <w:tc>
          <w:tcPr>
            <w:tcW w:type="dxa" w:w="468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r>
              <w:rPr>
                <w:rFonts w:ascii="Arial" w:cs="Arial" w:eastAsia="Arial" w:hAnsi="Arial"/>
                <w:sz w:val="20"/>
                <w:szCs w:val="20"/>
              </w:rPr>
              <w:t xml:space="preserve">31 days after leaving group, no evidence of insurability</w:t>
            </w:r>
          </w:p>
        </w:tc>
      </w:tr>
      <w:tr>
        <w:tc>
          <w:tcPr>
            <w:tcW w:type="dxa" w:w="4680"/>
            <w:tcBorders>
              <w:top w:val="single" w:color="CCCCCC" w:sz="1"/>
              <w:left w:val="single" w:color="CCCCCC" w:sz="1"/>
              <w:bottom w:val="single" w:color="CCCCCC" w:sz="1"/>
              <w:right w:val="single" w:color="CCCCCC" w:sz="1"/>
            </w:tcBorders>
            <w:shd w:fill="F0F6FB" w:val="clear"/>
            <w:tcMar>
              <w:top w:type="dxa" w:w="60"/>
              <w:left w:type="dxa" w:w="120"/>
              <w:bottom w:type="dxa" w:w="60"/>
              <w:right w:type="dxa" w:w="120"/>
            </w:tcMar>
          </w:tcPr>
          <w:p>
            <w:r>
              <w:rPr>
                <w:rFonts w:ascii="Arial" w:cs="Arial" w:eastAsia="Arial" w:hAnsi="Arial"/>
                <w:b/>
                <w:bCs/>
                <w:color w:val="1F4E79"/>
                <w:sz w:val="20"/>
                <w:szCs w:val="20"/>
              </w:rPr>
              <w:t xml:space="preserve">MEC Taxation</w:t>
            </w:r>
          </w:p>
        </w:tc>
        <w:tc>
          <w:tcPr>
            <w:tcW w:type="dxa" w:w="4680"/>
            <w:tcBorders>
              <w:top w:val="single" w:color="CCCCCC" w:sz="1"/>
              <w:left w:val="single" w:color="CCCCCC" w:sz="1"/>
              <w:bottom w:val="single" w:color="CCCCCC" w:sz="1"/>
              <w:right w:val="single" w:color="CCCCCC" w:sz="1"/>
            </w:tcBorders>
            <w:shd w:fill="F0F6FB" w:val="clear"/>
            <w:tcMar>
              <w:top w:type="dxa" w:w="60"/>
              <w:left w:type="dxa" w:w="120"/>
              <w:bottom w:type="dxa" w:w="60"/>
              <w:right w:type="dxa" w:w="120"/>
            </w:tcMar>
          </w:tcPr>
          <w:p>
            <w:r>
              <w:rPr>
                <w:rFonts w:ascii="Arial" w:cs="Arial" w:eastAsia="Arial" w:hAnsi="Arial"/>
                <w:sz w:val="20"/>
                <w:szCs w:val="20"/>
              </w:rPr>
              <w:t xml:space="preserve">LIFO — earnings come out first, taxable + 10% penalty before 59½</w:t>
            </w:r>
          </w:p>
        </w:tc>
      </w:tr>
      <w:tr>
        <w:tc>
          <w:tcPr>
            <w:tcW w:type="dxa" w:w="468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r>
              <w:rPr>
                <w:rFonts w:ascii="Arial" w:cs="Arial" w:eastAsia="Arial" w:hAnsi="Arial"/>
                <w:b/>
                <w:bCs/>
                <w:color w:val="1F4E79"/>
                <w:sz w:val="20"/>
                <w:szCs w:val="20"/>
              </w:rPr>
              <w:t xml:space="preserve">Nonforfeiture Options</w:t>
            </w:r>
          </w:p>
        </w:tc>
        <w:tc>
          <w:tcPr>
            <w:tcW w:type="dxa" w:w="468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r>
              <w:rPr>
                <w:rFonts w:ascii="Arial" w:cs="Arial" w:eastAsia="Arial" w:hAnsi="Arial"/>
                <w:sz w:val="20"/>
                <w:szCs w:val="20"/>
              </w:rPr>
              <w:t xml:space="preserve">Cash surrender, Reduced paid-up, Extended term (default)</w:t>
            </w:r>
          </w:p>
        </w:tc>
      </w:tr>
      <w:tr>
        <w:tc>
          <w:tcPr>
            <w:tcW w:type="dxa" w:w="4680"/>
            <w:tcBorders>
              <w:top w:val="single" w:color="CCCCCC" w:sz="1"/>
              <w:left w:val="single" w:color="CCCCCC" w:sz="1"/>
              <w:bottom w:val="single" w:color="CCCCCC" w:sz="1"/>
              <w:right w:val="single" w:color="CCCCCC" w:sz="1"/>
            </w:tcBorders>
            <w:shd w:fill="F0F6FB" w:val="clear"/>
            <w:tcMar>
              <w:top w:type="dxa" w:w="60"/>
              <w:left w:type="dxa" w:w="120"/>
              <w:bottom w:type="dxa" w:w="60"/>
              <w:right w:type="dxa" w:w="120"/>
            </w:tcMar>
          </w:tcPr>
          <w:p>
            <w:r>
              <w:rPr>
                <w:rFonts w:ascii="Arial" w:cs="Arial" w:eastAsia="Arial" w:hAnsi="Arial"/>
                <w:b/>
                <w:bCs/>
                <w:color w:val="1F4E79"/>
                <w:sz w:val="20"/>
                <w:szCs w:val="20"/>
              </w:rPr>
              <w:t xml:space="preserve">Settlement Options</w:t>
            </w:r>
          </w:p>
        </w:tc>
        <w:tc>
          <w:tcPr>
            <w:tcW w:type="dxa" w:w="4680"/>
            <w:tcBorders>
              <w:top w:val="single" w:color="CCCCCC" w:sz="1"/>
              <w:left w:val="single" w:color="CCCCCC" w:sz="1"/>
              <w:bottom w:val="single" w:color="CCCCCC" w:sz="1"/>
              <w:right w:val="single" w:color="CCCCCC" w:sz="1"/>
            </w:tcBorders>
            <w:shd w:fill="F0F6FB" w:val="clear"/>
            <w:tcMar>
              <w:top w:type="dxa" w:w="60"/>
              <w:left w:type="dxa" w:w="120"/>
              <w:bottom w:type="dxa" w:w="60"/>
              <w:right w:type="dxa" w:w="120"/>
            </w:tcMar>
          </w:tcPr>
          <w:p>
            <w:r>
              <w:rPr>
                <w:rFonts w:ascii="Arial" w:cs="Arial" w:eastAsia="Arial" w:hAnsi="Arial"/>
                <w:sz w:val="20"/>
                <w:szCs w:val="20"/>
              </w:rPr>
              <w:t xml:space="preserve">Cash/lump sum, Interest only, Fixed period, Fixed amount, Life income</w:t>
            </w:r>
          </w:p>
        </w:tc>
      </w:tr>
      <w:tr>
        <w:tc>
          <w:tcPr>
            <w:tcW w:type="dxa" w:w="468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r>
              <w:rPr>
                <w:rFonts w:ascii="Arial" w:cs="Arial" w:eastAsia="Arial" w:hAnsi="Arial"/>
                <w:b/>
                <w:bCs/>
                <w:color w:val="1F4E79"/>
                <w:sz w:val="20"/>
                <w:szCs w:val="20"/>
              </w:rPr>
              <w:t xml:space="preserve">1035 Exchange</w:t>
            </w:r>
          </w:p>
        </w:tc>
        <w:tc>
          <w:tcPr>
            <w:tcW w:type="dxa" w:w="468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r>
              <w:rPr>
                <w:rFonts w:ascii="Arial" w:cs="Arial" w:eastAsia="Arial" w:hAnsi="Arial"/>
                <w:sz w:val="20"/>
                <w:szCs w:val="20"/>
              </w:rPr>
              <w:t xml:space="preserve">Life→Life, Life→Annuity, Annuity→Annuity (tax-free); NOT Annuity→Life</w:t>
            </w:r>
          </w:p>
        </w:tc>
      </w:tr>
      <w:tr>
        <w:tc>
          <w:tcPr>
            <w:tcW w:type="dxa" w:w="4680"/>
            <w:tcBorders>
              <w:top w:val="single" w:color="CCCCCC" w:sz="1"/>
              <w:left w:val="single" w:color="CCCCCC" w:sz="1"/>
              <w:bottom w:val="single" w:color="CCCCCC" w:sz="1"/>
              <w:right w:val="single" w:color="CCCCCC" w:sz="1"/>
            </w:tcBorders>
            <w:shd w:fill="F0F6FB" w:val="clear"/>
            <w:tcMar>
              <w:top w:type="dxa" w:w="60"/>
              <w:left w:type="dxa" w:w="120"/>
              <w:bottom w:type="dxa" w:w="60"/>
              <w:right w:type="dxa" w:w="120"/>
            </w:tcMar>
          </w:tcPr>
          <w:p>
            <w:r>
              <w:rPr>
                <w:rFonts w:ascii="Arial" w:cs="Arial" w:eastAsia="Arial" w:hAnsi="Arial"/>
                <w:b/>
                <w:bCs/>
                <w:color w:val="1F4E79"/>
                <w:sz w:val="20"/>
                <w:szCs w:val="20"/>
              </w:rPr>
              <w:t xml:space="preserve">Personal Life Premiums</w:t>
            </w:r>
          </w:p>
        </w:tc>
        <w:tc>
          <w:tcPr>
            <w:tcW w:type="dxa" w:w="4680"/>
            <w:tcBorders>
              <w:top w:val="single" w:color="CCCCCC" w:sz="1"/>
              <w:left w:val="single" w:color="CCCCCC" w:sz="1"/>
              <w:bottom w:val="single" w:color="CCCCCC" w:sz="1"/>
              <w:right w:val="single" w:color="CCCCCC" w:sz="1"/>
            </w:tcBorders>
            <w:shd w:fill="F0F6FB" w:val="clear"/>
            <w:tcMar>
              <w:top w:type="dxa" w:w="60"/>
              <w:left w:type="dxa" w:w="120"/>
              <w:bottom w:type="dxa" w:w="60"/>
              <w:right w:type="dxa" w:w="120"/>
            </w:tcMar>
          </w:tcPr>
          <w:p>
            <w:r>
              <w:rPr>
                <w:rFonts w:ascii="Arial" w:cs="Arial" w:eastAsia="Arial" w:hAnsi="Arial"/>
                <w:sz w:val="20"/>
                <w:szCs w:val="20"/>
              </w:rPr>
              <w:t xml:space="preserve">NOT tax deductible for individuals</w:t>
            </w:r>
          </w:p>
        </w:tc>
      </w:tr>
      <w:tr>
        <w:tc>
          <w:tcPr>
            <w:tcW w:type="dxa" w:w="468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r>
              <w:rPr>
                <w:rFonts w:ascii="Arial" w:cs="Arial" w:eastAsia="Arial" w:hAnsi="Arial"/>
                <w:b/>
                <w:bCs/>
                <w:color w:val="1F4E79"/>
                <w:sz w:val="20"/>
                <w:szCs w:val="20"/>
              </w:rPr>
              <w:t xml:space="preserve">Death Benefits</w:t>
            </w:r>
          </w:p>
        </w:tc>
        <w:tc>
          <w:tcPr>
            <w:tcW w:type="dxa" w:w="468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r>
              <w:rPr>
                <w:rFonts w:ascii="Arial" w:cs="Arial" w:eastAsia="Arial" w:hAnsi="Arial"/>
                <w:sz w:val="20"/>
                <w:szCs w:val="20"/>
              </w:rPr>
              <w:t xml:space="preserve">Generally received income-tax-free by beneficiaries</w:t>
            </w:r>
          </w:p>
        </w:tc>
      </w:tr>
      <w:tr>
        <w:tc>
          <w:tcPr>
            <w:tcW w:type="dxa" w:w="4680"/>
            <w:tcBorders>
              <w:top w:val="single" w:color="CCCCCC" w:sz="1"/>
              <w:left w:val="single" w:color="CCCCCC" w:sz="1"/>
              <w:bottom w:val="single" w:color="CCCCCC" w:sz="1"/>
              <w:right w:val="single" w:color="CCCCCC" w:sz="1"/>
            </w:tcBorders>
            <w:shd w:fill="F0F6FB" w:val="clear"/>
            <w:tcMar>
              <w:top w:type="dxa" w:w="60"/>
              <w:left w:type="dxa" w:w="120"/>
              <w:bottom w:type="dxa" w:w="60"/>
              <w:right w:type="dxa" w:w="120"/>
            </w:tcMar>
          </w:tcPr>
          <w:p>
            <w:r>
              <w:rPr>
                <w:rFonts w:ascii="Arial" w:cs="Arial" w:eastAsia="Arial" w:hAnsi="Arial"/>
                <w:b/>
                <w:bCs/>
                <w:color w:val="1F4E79"/>
                <w:sz w:val="20"/>
                <w:szCs w:val="20"/>
              </w:rPr>
              <w:t xml:space="preserve">Key Person Insurance</w:t>
            </w:r>
          </w:p>
        </w:tc>
        <w:tc>
          <w:tcPr>
            <w:tcW w:type="dxa" w:w="4680"/>
            <w:tcBorders>
              <w:top w:val="single" w:color="CCCCCC" w:sz="1"/>
              <w:left w:val="single" w:color="CCCCCC" w:sz="1"/>
              <w:bottom w:val="single" w:color="CCCCCC" w:sz="1"/>
              <w:right w:val="single" w:color="CCCCCC" w:sz="1"/>
            </w:tcBorders>
            <w:shd w:fill="F0F6FB" w:val="clear"/>
            <w:tcMar>
              <w:top w:type="dxa" w:w="60"/>
              <w:left w:type="dxa" w:w="120"/>
              <w:bottom w:type="dxa" w:w="60"/>
              <w:right w:type="dxa" w:w="120"/>
            </w:tcMar>
          </w:tcPr>
          <w:p>
            <w:r>
              <w:rPr>
                <w:rFonts w:ascii="Arial" w:cs="Arial" w:eastAsia="Arial" w:hAnsi="Arial"/>
                <w:sz w:val="20"/>
                <w:szCs w:val="20"/>
              </w:rPr>
              <w:t xml:space="preserve">Business is owner, payer, and beneficiary</w:t>
            </w:r>
          </w:p>
        </w:tc>
      </w:tr>
      <w:tr>
        <w:tc>
          <w:tcPr>
            <w:tcW w:type="dxa" w:w="468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r>
              <w:rPr>
                <w:rFonts w:ascii="Arial" w:cs="Arial" w:eastAsia="Arial" w:hAnsi="Arial"/>
                <w:b/>
                <w:bCs/>
                <w:color w:val="1F4E79"/>
                <w:sz w:val="20"/>
                <w:szCs w:val="20"/>
              </w:rPr>
              <w:t xml:space="preserve">IRA Contribution Limit</w:t>
            </w:r>
          </w:p>
        </w:tc>
        <w:tc>
          <w:tcPr>
            <w:tcW w:type="dxa" w:w="468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r>
              <w:rPr>
                <w:rFonts w:ascii="Arial" w:cs="Arial" w:eastAsia="Arial" w:hAnsi="Arial"/>
                <w:sz w:val="20"/>
                <w:szCs w:val="20"/>
              </w:rPr>
              <w:t xml:space="preserve">Lesser of annual limit ($7,000) or 100% earned income</w:t>
            </w:r>
          </w:p>
        </w:tc>
      </w:tr>
      <w:tr>
        <w:tc>
          <w:tcPr>
            <w:tcW w:type="dxa" w:w="4680"/>
            <w:tcBorders>
              <w:top w:val="single" w:color="CCCCCC" w:sz="1"/>
              <w:left w:val="single" w:color="CCCCCC" w:sz="1"/>
              <w:bottom w:val="single" w:color="CCCCCC" w:sz="1"/>
              <w:right w:val="single" w:color="CCCCCC" w:sz="1"/>
            </w:tcBorders>
            <w:shd w:fill="F0F6FB" w:val="clear"/>
            <w:tcMar>
              <w:top w:type="dxa" w:w="60"/>
              <w:left w:type="dxa" w:w="120"/>
              <w:bottom w:type="dxa" w:w="60"/>
              <w:right w:type="dxa" w:w="120"/>
            </w:tcMar>
          </w:tcPr>
          <w:p>
            <w:r>
              <w:rPr>
                <w:rFonts w:ascii="Arial" w:cs="Arial" w:eastAsia="Arial" w:hAnsi="Arial"/>
                <w:b/>
                <w:bCs/>
                <w:color w:val="1F4E79"/>
                <w:sz w:val="20"/>
                <w:szCs w:val="20"/>
              </w:rPr>
              <w:t xml:space="preserve">IRA Direct Transfer</w:t>
            </w:r>
          </w:p>
        </w:tc>
        <w:tc>
          <w:tcPr>
            <w:tcW w:type="dxa" w:w="4680"/>
            <w:tcBorders>
              <w:top w:val="single" w:color="CCCCCC" w:sz="1"/>
              <w:left w:val="single" w:color="CCCCCC" w:sz="1"/>
              <w:bottom w:val="single" w:color="CCCCCC" w:sz="1"/>
              <w:right w:val="single" w:color="CCCCCC" w:sz="1"/>
            </w:tcBorders>
            <w:shd w:fill="F0F6FB" w:val="clear"/>
            <w:tcMar>
              <w:top w:type="dxa" w:w="60"/>
              <w:left w:type="dxa" w:w="120"/>
              <w:bottom w:type="dxa" w:w="60"/>
              <w:right w:type="dxa" w:w="120"/>
            </w:tcMar>
          </w:tcPr>
          <w:p>
            <w:r>
              <w:rPr>
                <w:rFonts w:ascii="Arial" w:cs="Arial" w:eastAsia="Arial" w:hAnsi="Arial"/>
                <w:sz w:val="20"/>
                <w:szCs w:val="20"/>
              </w:rPr>
              <w:t xml:space="preserve">Trustee-to-trustee = nontaxable event</w:t>
            </w:r>
          </w:p>
        </w:tc>
      </w:tr>
      <w:tr>
        <w:tc>
          <w:tcPr>
            <w:tcW w:type="dxa" w:w="468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r>
              <w:rPr>
                <w:rFonts w:ascii="Arial" w:cs="Arial" w:eastAsia="Arial" w:hAnsi="Arial"/>
                <w:b/>
                <w:bCs/>
                <w:color w:val="1F4E79"/>
                <w:sz w:val="20"/>
                <w:szCs w:val="20"/>
              </w:rPr>
              <w:t xml:space="preserve">Qualified Plans</w:t>
            </w:r>
          </w:p>
        </w:tc>
        <w:tc>
          <w:tcPr>
            <w:tcW w:type="dxa" w:w="468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r>
              <w:rPr>
                <w:rFonts w:ascii="Arial" w:cs="Arial" w:eastAsia="Arial" w:hAnsi="Arial"/>
                <w:sz w:val="20"/>
                <w:szCs w:val="20"/>
              </w:rPr>
              <w:t xml:space="preserve">Must be for exclusive benefit of employees</w:t>
            </w:r>
          </w:p>
        </w:tc>
      </w:tr>
      <w:tr>
        <w:tc>
          <w:tcPr>
            <w:tcW w:type="dxa" w:w="4680"/>
            <w:tcBorders>
              <w:top w:val="single" w:color="CCCCCC" w:sz="1"/>
              <w:left w:val="single" w:color="CCCCCC" w:sz="1"/>
              <w:bottom w:val="single" w:color="CCCCCC" w:sz="1"/>
              <w:right w:val="single" w:color="CCCCCC" w:sz="1"/>
            </w:tcBorders>
            <w:shd w:fill="F0F6FB" w:val="clear"/>
            <w:tcMar>
              <w:top w:type="dxa" w:w="60"/>
              <w:left w:type="dxa" w:w="120"/>
              <w:bottom w:type="dxa" w:w="60"/>
              <w:right w:type="dxa" w:w="120"/>
            </w:tcMar>
          </w:tcPr>
          <w:p>
            <w:r>
              <w:rPr>
                <w:rFonts w:ascii="Arial" w:cs="Arial" w:eastAsia="Arial" w:hAnsi="Arial"/>
                <w:b/>
                <w:bCs/>
                <w:color w:val="1F4E79"/>
                <w:sz w:val="20"/>
                <w:szCs w:val="20"/>
              </w:rPr>
              <w:t xml:space="preserve">Rebating</w:t>
            </w:r>
          </w:p>
        </w:tc>
        <w:tc>
          <w:tcPr>
            <w:tcW w:type="dxa" w:w="4680"/>
            <w:tcBorders>
              <w:top w:val="single" w:color="CCCCCC" w:sz="1"/>
              <w:left w:val="single" w:color="CCCCCC" w:sz="1"/>
              <w:bottom w:val="single" w:color="CCCCCC" w:sz="1"/>
              <w:right w:val="single" w:color="CCCCCC" w:sz="1"/>
            </w:tcBorders>
            <w:shd w:fill="F0F6FB" w:val="clear"/>
            <w:tcMar>
              <w:top w:type="dxa" w:w="60"/>
              <w:left w:type="dxa" w:w="120"/>
              <w:bottom w:type="dxa" w:w="60"/>
              <w:right w:type="dxa" w:w="120"/>
            </w:tcMar>
          </w:tcPr>
          <w:p>
            <w:r>
              <w:rPr>
                <w:rFonts w:ascii="Arial" w:cs="Arial" w:eastAsia="Arial" w:hAnsi="Arial"/>
                <w:sz w:val="20"/>
                <w:szCs w:val="20"/>
              </w:rPr>
              <w:t xml:space="preserve">Returning commission to insured as inducement = illegal</w:t>
            </w:r>
          </w:p>
        </w:tc>
      </w:tr>
      <w:tr>
        <w:tc>
          <w:tcPr>
            <w:tcW w:type="dxa" w:w="468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r>
              <w:rPr>
                <w:rFonts w:ascii="Arial" w:cs="Arial" w:eastAsia="Arial" w:hAnsi="Arial"/>
                <w:b/>
                <w:bCs/>
                <w:color w:val="1F4E79"/>
                <w:sz w:val="20"/>
                <w:szCs w:val="20"/>
              </w:rPr>
              <w:t xml:space="preserve">Twisting</w:t>
            </w:r>
          </w:p>
        </w:tc>
        <w:tc>
          <w:tcPr>
            <w:tcW w:type="dxa" w:w="468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r>
              <w:rPr>
                <w:rFonts w:ascii="Arial" w:cs="Arial" w:eastAsia="Arial" w:hAnsi="Arial"/>
                <w:sz w:val="20"/>
                <w:szCs w:val="20"/>
              </w:rPr>
              <w:t xml:space="preserve">Misrepresentation to induce policy replacement = illegal</w:t>
            </w:r>
          </w:p>
        </w:tc>
      </w:tr>
      <w:tr>
        <w:tc>
          <w:tcPr>
            <w:tcW w:type="dxa" w:w="4680"/>
            <w:tcBorders>
              <w:top w:val="single" w:color="CCCCCC" w:sz="1"/>
              <w:left w:val="single" w:color="CCCCCC" w:sz="1"/>
              <w:bottom w:val="single" w:color="CCCCCC" w:sz="1"/>
              <w:right w:val="single" w:color="CCCCCC" w:sz="1"/>
            </w:tcBorders>
            <w:shd w:fill="F0F6FB" w:val="clear"/>
            <w:tcMar>
              <w:top w:type="dxa" w:w="60"/>
              <w:left w:type="dxa" w:w="120"/>
              <w:bottom w:type="dxa" w:w="60"/>
              <w:right w:type="dxa" w:w="120"/>
            </w:tcMar>
          </w:tcPr>
          <w:p>
            <w:r>
              <w:rPr>
                <w:rFonts w:ascii="Arial" w:cs="Arial" w:eastAsia="Arial" w:hAnsi="Arial"/>
                <w:b/>
                <w:bCs/>
                <w:color w:val="1F4E79"/>
                <w:sz w:val="20"/>
                <w:szCs w:val="20"/>
              </w:rPr>
              <w:t xml:space="preserve">Defamation</w:t>
            </w:r>
          </w:p>
        </w:tc>
        <w:tc>
          <w:tcPr>
            <w:tcW w:type="dxa" w:w="4680"/>
            <w:tcBorders>
              <w:top w:val="single" w:color="CCCCCC" w:sz="1"/>
              <w:left w:val="single" w:color="CCCCCC" w:sz="1"/>
              <w:bottom w:val="single" w:color="CCCCCC" w:sz="1"/>
              <w:right w:val="single" w:color="CCCCCC" w:sz="1"/>
            </w:tcBorders>
            <w:shd w:fill="F0F6FB" w:val="clear"/>
            <w:tcMar>
              <w:top w:type="dxa" w:w="60"/>
              <w:left w:type="dxa" w:w="120"/>
              <w:bottom w:type="dxa" w:w="60"/>
              <w:right w:type="dxa" w:w="120"/>
            </w:tcMar>
          </w:tcPr>
          <w:p>
            <w:r>
              <w:rPr>
                <w:rFonts w:ascii="Arial" w:cs="Arial" w:eastAsia="Arial" w:hAnsi="Arial"/>
                <w:sz w:val="20"/>
                <w:szCs w:val="20"/>
              </w:rPr>
              <w:t xml:space="preserve">False statements about competitor’s financial condition = illegal</w:t>
            </w:r>
          </w:p>
        </w:tc>
      </w:tr>
      <w:tr>
        <w:tc>
          <w:tcPr>
            <w:tcW w:type="dxa" w:w="468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r>
              <w:rPr>
                <w:rFonts w:ascii="Arial" w:cs="Arial" w:eastAsia="Arial" w:hAnsi="Arial"/>
                <w:b/>
                <w:bCs/>
                <w:color w:val="1F4E79"/>
                <w:sz w:val="20"/>
                <w:szCs w:val="20"/>
              </w:rPr>
              <w:t xml:space="preserve">Collateral Assignment</w:t>
            </w:r>
          </w:p>
        </w:tc>
        <w:tc>
          <w:tcPr>
            <w:tcW w:type="dxa" w:w="468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r>
              <w:rPr>
                <w:rFonts w:ascii="Arial" w:cs="Arial" w:eastAsia="Arial" w:hAnsi="Arial"/>
                <w:sz w:val="20"/>
                <w:szCs w:val="20"/>
              </w:rPr>
              <w:t xml:space="preserve">Temporary; rights revert when loan is repaid</w:t>
            </w:r>
          </w:p>
        </w:tc>
      </w:tr>
      <w:tr>
        <w:tc>
          <w:tcPr>
            <w:tcW w:type="dxa" w:w="4680"/>
            <w:tcBorders>
              <w:top w:val="single" w:color="CCCCCC" w:sz="1"/>
              <w:left w:val="single" w:color="CCCCCC" w:sz="1"/>
              <w:bottom w:val="single" w:color="CCCCCC" w:sz="1"/>
              <w:right w:val="single" w:color="CCCCCC" w:sz="1"/>
            </w:tcBorders>
            <w:shd w:fill="F0F6FB" w:val="clear"/>
            <w:tcMar>
              <w:top w:type="dxa" w:w="60"/>
              <w:left w:type="dxa" w:w="120"/>
              <w:bottom w:type="dxa" w:w="60"/>
              <w:right w:type="dxa" w:w="120"/>
            </w:tcMar>
          </w:tcPr>
          <w:p>
            <w:r>
              <w:rPr>
                <w:rFonts w:ascii="Arial" w:cs="Arial" w:eastAsia="Arial" w:hAnsi="Arial"/>
                <w:b/>
                <w:bCs/>
                <w:color w:val="1F4E79"/>
                <w:sz w:val="20"/>
                <w:szCs w:val="20"/>
              </w:rPr>
              <w:t xml:space="preserve">Absolute Assignment</w:t>
            </w:r>
          </w:p>
        </w:tc>
        <w:tc>
          <w:tcPr>
            <w:tcW w:type="dxa" w:w="4680"/>
            <w:tcBorders>
              <w:top w:val="single" w:color="CCCCCC" w:sz="1"/>
              <w:left w:val="single" w:color="CCCCCC" w:sz="1"/>
              <w:bottom w:val="single" w:color="CCCCCC" w:sz="1"/>
              <w:right w:val="single" w:color="CCCCCC" w:sz="1"/>
            </w:tcBorders>
            <w:shd w:fill="F0F6FB" w:val="clear"/>
            <w:tcMar>
              <w:top w:type="dxa" w:w="60"/>
              <w:left w:type="dxa" w:w="120"/>
              <w:bottom w:type="dxa" w:w="60"/>
              <w:right w:type="dxa" w:w="120"/>
            </w:tcMar>
          </w:tcPr>
          <w:p>
            <w:r>
              <w:rPr>
                <w:rFonts w:ascii="Arial" w:cs="Arial" w:eastAsia="Arial" w:hAnsi="Arial"/>
                <w:sz w:val="20"/>
                <w:szCs w:val="20"/>
              </w:rPr>
              <w:t xml:space="preserve">Permanent transfer of all ownership rights</w:t>
            </w:r>
          </w:p>
        </w:tc>
      </w:tr>
      <w:tr>
        <w:tc>
          <w:tcPr>
            <w:tcW w:type="dxa" w:w="468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r>
              <w:rPr>
                <w:rFonts w:ascii="Arial" w:cs="Arial" w:eastAsia="Arial" w:hAnsi="Arial"/>
                <w:b/>
                <w:bCs/>
                <w:color w:val="1F4E79"/>
                <w:sz w:val="20"/>
                <w:szCs w:val="20"/>
              </w:rPr>
              <w:t xml:space="preserve">MD License Renewal</w:t>
            </w:r>
          </w:p>
        </w:tc>
        <w:tc>
          <w:tcPr>
            <w:tcW w:type="dxa" w:w="468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r>
              <w:rPr>
                <w:rFonts w:ascii="Arial" w:cs="Arial" w:eastAsia="Arial" w:hAnsi="Arial"/>
                <w:sz w:val="20"/>
                <w:szCs w:val="20"/>
              </w:rPr>
              <w:t xml:space="preserve">Every 2 years; CE approved by MIA</w:t>
            </w:r>
          </w:p>
        </w:tc>
      </w:tr>
      <w:tr>
        <w:tc>
          <w:tcPr>
            <w:tcW w:type="dxa" w:w="4680"/>
            <w:tcBorders>
              <w:top w:val="single" w:color="CCCCCC" w:sz="1"/>
              <w:left w:val="single" w:color="CCCCCC" w:sz="1"/>
              <w:bottom w:val="single" w:color="CCCCCC" w:sz="1"/>
              <w:right w:val="single" w:color="CCCCCC" w:sz="1"/>
            </w:tcBorders>
            <w:shd w:fill="F0F6FB" w:val="clear"/>
            <w:tcMar>
              <w:top w:type="dxa" w:w="60"/>
              <w:left w:type="dxa" w:w="120"/>
              <w:bottom w:type="dxa" w:w="60"/>
              <w:right w:type="dxa" w:w="120"/>
            </w:tcMar>
          </w:tcPr>
          <w:p>
            <w:r>
              <w:rPr>
                <w:rFonts w:ascii="Arial" w:cs="Arial" w:eastAsia="Arial" w:hAnsi="Arial"/>
                <w:b/>
                <w:bCs/>
                <w:color w:val="1F4E79"/>
                <w:sz w:val="20"/>
                <w:szCs w:val="20"/>
              </w:rPr>
              <w:t xml:space="preserve">Replacement Notice</w:t>
            </w:r>
          </w:p>
        </w:tc>
        <w:tc>
          <w:tcPr>
            <w:tcW w:type="dxa" w:w="4680"/>
            <w:tcBorders>
              <w:top w:val="single" w:color="CCCCCC" w:sz="1"/>
              <w:left w:val="single" w:color="CCCCCC" w:sz="1"/>
              <w:bottom w:val="single" w:color="CCCCCC" w:sz="1"/>
              <w:right w:val="single" w:color="CCCCCC" w:sz="1"/>
            </w:tcBorders>
            <w:shd w:fill="F0F6FB" w:val="clear"/>
            <w:tcMar>
              <w:top w:type="dxa" w:w="60"/>
              <w:left w:type="dxa" w:w="120"/>
              <w:bottom w:type="dxa" w:w="60"/>
              <w:right w:type="dxa" w:w="120"/>
            </w:tcMar>
          </w:tcPr>
          <w:p>
            <w:r>
              <w:rPr>
                <w:rFonts w:ascii="Arial" w:cs="Arial" w:eastAsia="Arial" w:hAnsi="Arial"/>
                <w:sz w:val="20"/>
                <w:szCs w:val="20"/>
              </w:rPr>
              <w:t xml:space="preserve">Must be signed by both applicant and producer</w:t>
            </w:r>
          </w:p>
        </w:tc>
      </w:tr>
      <w:tr>
        <w:tc>
          <w:tcPr>
            <w:tcW w:type="dxa" w:w="468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r>
              <w:rPr>
                <w:rFonts w:ascii="Arial" w:cs="Arial" w:eastAsia="Arial" w:hAnsi="Arial"/>
                <w:b/>
                <w:bCs/>
                <w:color w:val="1F4E79"/>
                <w:sz w:val="20"/>
                <w:szCs w:val="20"/>
              </w:rPr>
              <w:t xml:space="preserve">Fiduciary Duty</w:t>
            </w:r>
          </w:p>
        </w:tc>
        <w:tc>
          <w:tcPr>
            <w:tcW w:type="dxa" w:w="4680"/>
            <w:tcBorders>
              <w:top w:val="single" w:color="CCCCCC" w:sz="1"/>
              <w:left w:val="single" w:color="CCCCCC" w:sz="1"/>
              <w:bottom w:val="single" w:color="CCCCCC" w:sz="1"/>
              <w:right w:val="single" w:color="CCCCCC" w:sz="1"/>
            </w:tcBorders>
            <w:shd w:fill="FFFFFF" w:val="clear"/>
            <w:tcMar>
              <w:top w:type="dxa" w:w="60"/>
              <w:left w:type="dxa" w:w="120"/>
              <w:bottom w:type="dxa" w:w="60"/>
              <w:right w:type="dxa" w:w="120"/>
            </w:tcMar>
          </w:tcPr>
          <w:p>
            <w:r>
              <w:rPr>
                <w:rFonts w:ascii="Arial" w:cs="Arial" w:eastAsia="Arial" w:hAnsi="Arial"/>
                <w:sz w:val="20"/>
                <w:szCs w:val="20"/>
              </w:rPr>
              <w:t xml:space="preserve">Producer must handle premium funds in trust</w:t>
            </w:r>
          </w:p>
        </w:tc>
      </w:tr>
      <w:tr>
        <w:tc>
          <w:tcPr>
            <w:tcW w:type="dxa" w:w="4680"/>
            <w:tcBorders>
              <w:top w:val="single" w:color="CCCCCC" w:sz="1"/>
              <w:left w:val="single" w:color="CCCCCC" w:sz="1"/>
              <w:bottom w:val="single" w:color="CCCCCC" w:sz="1"/>
              <w:right w:val="single" w:color="CCCCCC" w:sz="1"/>
            </w:tcBorders>
            <w:shd w:fill="F0F6FB" w:val="clear"/>
            <w:tcMar>
              <w:top w:type="dxa" w:w="60"/>
              <w:left w:type="dxa" w:w="120"/>
              <w:bottom w:type="dxa" w:w="60"/>
              <w:right w:type="dxa" w:w="120"/>
            </w:tcMar>
          </w:tcPr>
          <w:p>
            <w:r>
              <w:rPr>
                <w:rFonts w:ascii="Arial" w:cs="Arial" w:eastAsia="Arial" w:hAnsi="Arial"/>
                <w:b/>
                <w:bCs/>
                <w:color w:val="1F4E79"/>
                <w:sz w:val="20"/>
                <w:szCs w:val="20"/>
              </w:rPr>
              <w:t xml:space="preserve">Accelerated Death Benefit</w:t>
            </w:r>
          </w:p>
        </w:tc>
        <w:tc>
          <w:tcPr>
            <w:tcW w:type="dxa" w:w="4680"/>
            <w:tcBorders>
              <w:top w:val="single" w:color="CCCCCC" w:sz="1"/>
              <w:left w:val="single" w:color="CCCCCC" w:sz="1"/>
              <w:bottom w:val="single" w:color="CCCCCC" w:sz="1"/>
              <w:right w:val="single" w:color="CCCCCC" w:sz="1"/>
            </w:tcBorders>
            <w:shd w:fill="F0F6FB" w:val="clear"/>
            <w:tcMar>
              <w:top w:type="dxa" w:w="60"/>
              <w:left w:type="dxa" w:w="120"/>
              <w:bottom w:type="dxa" w:w="60"/>
              <w:right w:type="dxa" w:w="120"/>
            </w:tcMar>
          </w:tcPr>
          <w:p>
            <w:r>
              <w:rPr>
                <w:rFonts w:ascii="Arial" w:cs="Arial" w:eastAsia="Arial" w:hAnsi="Arial"/>
                <w:sz w:val="20"/>
                <w:szCs w:val="20"/>
              </w:rPr>
              <w:t xml:space="preserve">Advance portion of death benefit for terminal illness</w:t>
            </w:r>
          </w:p>
        </w:tc>
      </w:tr>
    </w:tbl>
    <w:p>
      <w:r>
        <w:br w:type="page"/>
      </w:r>
    </w:p>
    <w:p>
      <w:pPr>
        <w:shd w:fill="1F4E79" w:val="clear"/>
        <w:spacing w:after="160" w:before="0"/>
      </w:pPr>
      <w:r>
        <w:rPr>
          <w:rFonts w:ascii="Arial" w:cs="Arial" w:eastAsia="Arial" w:hAnsi="Arial"/>
          <w:b/>
          <w:bCs/>
          <w:color w:val="FFFFFF"/>
          <w:sz w:val="28"/>
          <w:szCs w:val="28"/>
        </w:rPr>
        <w:t xml:space="preserve">  TYPES OF LIFE INSURANCE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Q1.  </w:t>
            </w:r>
            <w:r>
              <w:rPr>
                <w:rFonts w:ascii="Arial" w:cs="Arial" w:eastAsia="Arial" w:hAnsi="Arial"/>
                <w:b/>
                <w:bCs/>
                <w:sz w:val="22"/>
                <w:szCs w:val="22"/>
              </w:rPr>
              <w:t xml:space="preserve">Which type of life insurance provides permanent protection and builds cash value on a guaranteed basis?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Term life insurance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Renewable term insurance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Group term life insurance</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B) Whole life insurance</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Whole life insurance provides lifetime (permanent) death benefit protection and builds guaranteed cash value over time at a fixed premium. Term insurance provides temporary coverage with no cash value. Group term is temporary coverage for groups.</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Q2.  </w:t>
            </w:r>
            <w:r>
              <w:rPr>
                <w:rFonts w:ascii="Arial" w:cs="Arial" w:eastAsia="Arial" w:hAnsi="Arial"/>
                <w:b/>
                <w:bCs/>
                <w:sz w:val="22"/>
                <w:szCs w:val="22"/>
              </w:rPr>
              <w:t xml:space="preserve">Which statement is TRUE regarding term life insurance compared to whole life insurance?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Term builds more cash value over time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Term premiums are always level for life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Term coverage continues regardless of premium payment</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C) Term provides temporary protection at a lower initial premium</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Term life insurance provides temporary coverage for a specified period (e.g., 10, 20, 30 years) at a lower initial premium than whole life. It has no cash value. If the insured outlives the term, no benefit is paid. Whole life has higher premiums but provides permanent coverage with cash value.</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Q7.  </w:t>
            </w:r>
            <w:r>
              <w:rPr>
                <w:rFonts w:ascii="Arial" w:cs="Arial" w:eastAsia="Arial" w:hAnsi="Arial"/>
                <w:b/>
                <w:bCs/>
                <w:sz w:val="22"/>
                <w:szCs w:val="22"/>
              </w:rPr>
              <w:t xml:space="preserve">Which statement is true regarding a universal life insurance policy?</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Premiums and face amount are fixed for the life of the policy</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It does not provide a death benefit</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It cannot be surrendered for cash value</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A) Cash value accumulations are subject to a minimum interest rate guarantee</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Universal life policies credit interest to the cash value at a current rate, but guarantee a minimum interest rate floor (typically 2-4%). Premiums are flexible (not fixed), face amount can be changed, and the policy can be surrendered for cash value.</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Q8.  </w:t>
            </w:r>
            <w:r>
              <w:rPr>
                <w:rFonts w:ascii="Arial" w:cs="Arial" w:eastAsia="Arial" w:hAnsi="Arial"/>
                <w:b/>
                <w:bCs/>
                <w:sz w:val="22"/>
                <w:szCs w:val="22"/>
              </w:rPr>
              <w:t xml:space="preserve">Which statement is true regarding adjustable life insurance?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The death benefit can never be changed once issued</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It is only available as group coverage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It does not build cash value</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B) The policyowner may change the face amount and premium within the company's limits</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Adjustable life insurance gives policyowners flexibility to change the face amount, premium, and premium-paying period within the insurer's guidelines. It can function as term or whole life depending on adjustments made. It does build cash value.</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Q22.  </w:t>
            </w:r>
            <w:r>
              <w:rPr>
                <w:rFonts w:ascii="Arial" w:cs="Arial" w:eastAsia="Arial" w:hAnsi="Arial"/>
                <w:b/>
                <w:bCs/>
                <w:sz w:val="22"/>
                <w:szCs w:val="22"/>
              </w:rPr>
              <w:t xml:space="preserve">A variable life insurance policy differs from a whole life policy in that a variable policy:</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Has no death benefit</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Guarantees a fixed premium for life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Cannot be surrendered</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B) Invests cash value in separate accounts with performance-based returns</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Variable life insurance invests the cash value in separate accounts (similar to mutual fund sub-accounts). The death benefit and cash value fluctuate based on investment performance. Whole life guarantees a fixed death benefit and guaranteed cash value growth. Variable policies require a securities license to sell.</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Q48.  </w:t>
            </w:r>
            <w:r>
              <w:rPr>
                <w:rFonts w:ascii="Arial" w:cs="Arial" w:eastAsia="Arial" w:hAnsi="Arial"/>
                <w:b/>
                <w:bCs/>
                <w:sz w:val="22"/>
                <w:szCs w:val="22"/>
              </w:rPr>
              <w:t xml:space="preserve">An endowment life insurance policy pays the face amount to the policyowner if:</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The insured dies before the endowment date only</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The insured reaches age 100 regardless of policy term</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The policy is surrendered within the first five years</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B) The insured survives to the end of the policy period, OR upon the insured's earlier death</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An endowment policy matures and pays the face amount either at the end of the stated period (if the insured survives) or at the insured's earlier death. It combines savings and life insurance — the insured is guaranteed to receive the face amount one way or another.</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Q53.  </w:t>
            </w:r>
            <w:r>
              <w:rPr>
                <w:rFonts w:ascii="Arial" w:cs="Arial" w:eastAsia="Arial" w:hAnsi="Arial"/>
                <w:b/>
                <w:bCs/>
                <w:sz w:val="22"/>
                <w:szCs w:val="22"/>
              </w:rPr>
              <w:t xml:space="preserve">A 20-pay whole life insurance policy is one in which:</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Coverage lasts only 20 years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The face amount increases by 20% each year</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The policy matures at age 20</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B) Premiums are paid for 20 years, after which the policy is fully paid up for life</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A 20-pay whole life policy requires premium payments for exactly 20 years, after which no further premiums are due. The policy remains in force for the insured's entire lifetime with a fully paid-up death benefit. The policy builds cash value more rapidly than ordinary whole life because of the compressed premium-paying period.</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Q57.  </w:t>
            </w:r>
            <w:r>
              <w:rPr>
                <w:rFonts w:ascii="Arial" w:cs="Arial" w:eastAsia="Arial" w:hAnsi="Arial"/>
                <w:b/>
                <w:bCs/>
                <w:sz w:val="22"/>
                <w:szCs w:val="22"/>
              </w:rPr>
              <w:t xml:space="preserve">Which type of life insurance policy is designed to pay the balance of a thirty-year home mortgage loan in the event of the insured's death?</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30-payment whole life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30-year level term</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30-year endowment</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B) 30-year decreasing term</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Decreasing term insurance has a face amount that decreases over time, mirroring a declining mortgage balance. The death benefit decreases each year while the premium remains level, making it ideal for mortgage protection. Level term maintains the same death benefit throughout.</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Q64.  </w:t>
            </w:r>
            <w:r>
              <w:rPr>
                <w:rFonts w:ascii="Arial" w:cs="Arial" w:eastAsia="Arial" w:hAnsi="Arial"/>
                <w:b/>
                <w:bCs/>
                <w:sz w:val="22"/>
                <w:szCs w:val="22"/>
              </w:rPr>
              <w:t xml:space="preserve">Which of the following best describes a variable life insurance policy compared to a traditional whole life policy?</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Variable life has fixed premiums and a guaranteed cash value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Variable life does not allow the policyowner to direct investments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Variable life premiums are flexible and there is no guaranteed death benefit</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A) Variable life has a guaranteed minimum death benefit equal to the original face amount</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Variable life insurance has a guaranteed minimum death benefit (the original face amount) even if investment sub-accounts perform poorly. However, the cash value and any amount above the minimum death benefit fluctuate with investment performance. Producers selling variable life must hold a FINRA securities registration.</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Q72.  </w:t>
            </w:r>
            <w:r>
              <w:rPr>
                <w:rFonts w:ascii="Arial" w:cs="Arial" w:eastAsia="Arial" w:hAnsi="Arial"/>
                <w:b/>
                <w:bCs/>
                <w:sz w:val="22"/>
                <w:szCs w:val="22"/>
              </w:rPr>
              <w:t xml:space="preserve">A policy that combines term insurance protection with a flexible-premium investment account is known as: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Whole life insurance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Variable life insurance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Endowment insurance</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B) Universal life insurance</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Universal life (UL) insurance separates the death benefit (pure term protection) from the savings element (cash value account) with flexible premiums. The policyowner can adjust premiums and death benefits within limits. Variable life has a separate account invested in securities.</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Q83.  </w:t>
            </w:r>
            <w:r>
              <w:rPr>
                <w:rFonts w:ascii="Arial" w:cs="Arial" w:eastAsia="Arial" w:hAnsi="Arial"/>
                <w:b/>
                <w:bCs/>
                <w:sz w:val="22"/>
                <w:szCs w:val="22"/>
              </w:rPr>
              <w:t xml:space="preserve">Term life insurance that increases the death benefit over the policy's term, often used to offset inflation, is called:</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Decreasing term</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Level term</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Renewable term</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C) Increasing term</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Increasing term life insurance has a death benefit that grows over time — often tied to the CPI or a fixed percentage — to protect the beneficiary's purchasing power against inflation. The premium may also increase or remain level depending on the design.</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Q85.  </w:t>
            </w:r>
            <w:r>
              <w:rPr>
                <w:rFonts w:ascii="Arial" w:cs="Arial" w:eastAsia="Arial" w:hAnsi="Arial"/>
                <w:b/>
                <w:bCs/>
                <w:sz w:val="22"/>
                <w:szCs w:val="22"/>
              </w:rPr>
              <w:t xml:space="preserve">A second-to-die (survivorship) life insurance policy pays the death benefit:</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Upon the death of the first insured</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In equal installments to each insured upon their deaths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Only if both insureds die simultaneously</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B) Upon the death of the second (last surviving) insured</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Survivorship (second-to-die) life insurance covers two people and pays the death benefit only upon the death of the last surviving insured. It is commonly used in estate planning to provide funds for estate taxes, which become due after the surviving spouse dies.</w:t>
            </w:r>
          </w:p>
        </w:tc>
      </w:tr>
    </w:tbl>
    <w:p>
      <w:pPr>
        <w:spacing w:after="120" w:before="0"/>
      </w:pPr>
    </w:p>
    <w:p>
      <w:r>
        <w:br w:type="page"/>
      </w:r>
    </w:p>
    <w:p>
      <w:pPr>
        <w:shd w:fill="1F4E79" w:val="clear"/>
        <w:spacing w:after="160" w:before="0"/>
      </w:pPr>
      <w:r>
        <w:rPr>
          <w:rFonts w:ascii="Arial" w:cs="Arial" w:eastAsia="Arial" w:hAnsi="Arial"/>
          <w:b/>
          <w:bCs/>
          <w:color w:val="FFFFFF"/>
          <w:sz w:val="28"/>
          <w:szCs w:val="28"/>
        </w:rPr>
        <w:t xml:space="preserve">  ANNUITIES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Q3.  </w:t>
            </w:r>
            <w:r>
              <w:rPr>
                <w:rFonts w:ascii="Arial" w:cs="Arial" w:eastAsia="Arial" w:hAnsi="Arial"/>
                <w:b/>
                <w:bCs/>
                <w:sz w:val="22"/>
                <w:szCs w:val="22"/>
              </w:rPr>
              <w:t xml:space="preserve">A variable annuity differs from a fixed annuity in that a variable annuity:</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Guarantees a fixed monthly income for life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Has no accumulation period</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Is not subject to any federal regulation</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C) Invests in a separate account with returns that vary based on investment performance</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Variable annuities invest premiums in separate accounts (sub-accounts similar to mutual funds), so the accumulation and payout values fluctuate based on investment performance. Fixed annuities credit a guaranteed minimum interest rate with no market risk to the contract owner.</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Q14.  </w:t>
            </w:r>
            <w:r>
              <w:rPr>
                <w:rFonts w:ascii="Arial" w:cs="Arial" w:eastAsia="Arial" w:hAnsi="Arial"/>
                <w:b/>
                <w:bCs/>
                <w:sz w:val="22"/>
                <w:szCs w:val="22"/>
              </w:rPr>
              <w:t xml:space="preserve">A deferred annuity that is canceled in its early years often imposes a charge known as: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A penalty tax</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An administrative fee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A mortality charge</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C) A surrender charge</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Surrender charges (also called contingent deferred sales charges) are fees imposed when an annuity contract is surrendered early. They typically start high (e.g., 7%) and decline over 7-10 years, discouraging early withdrawals and compensating the insurer for upfront commission costs.</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Q25.  </w:t>
            </w:r>
            <w:r>
              <w:rPr>
                <w:rFonts w:ascii="Arial" w:cs="Arial" w:eastAsia="Arial" w:hAnsi="Arial"/>
                <w:b/>
                <w:bCs/>
                <w:sz w:val="22"/>
                <w:szCs w:val="22"/>
              </w:rPr>
              <w:t xml:space="preserve">Which of the following best describes the accumulation phase of a deferred annuity?</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The period during which annuity income payments are made to the annuitant</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The period after the annuity starting date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The period during which the insurer assesses surrender charges only</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B) The period during which premiums are paid and interest grows tax-deferred</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The accumulation (pay-in) phase of a deferred annuity is the period before annuitization begins. During this time, premiums are deposited and interest (or investment gains) accumulate on a tax-deferred basis. The annuity phase (distribution/payout phase) begins when income payments start.</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Q26.  </w:t>
            </w:r>
            <w:r>
              <w:rPr>
                <w:rFonts w:ascii="Arial" w:cs="Arial" w:eastAsia="Arial" w:hAnsi="Arial"/>
                <w:b/>
                <w:bCs/>
                <w:sz w:val="22"/>
                <w:szCs w:val="22"/>
              </w:rPr>
              <w:t xml:space="preserve">An immediate annuity:</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May be purchased in installments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Pays a lump sum benefit to the annuitant</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Normally permits tax-deductible contributions</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C) Lacks an accumulation period</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An immediate annuity is purchased with a single lump-sum premium and begins paying benefits almost immediately (within one payment period). It has no accumulation (deferral) period. Deferred annuities have accumulation phases. Annuity contributions are generally not tax-deductible.</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Q27.  </w:t>
            </w:r>
            <w:r>
              <w:rPr>
                <w:rFonts w:ascii="Arial" w:cs="Arial" w:eastAsia="Arial" w:hAnsi="Arial"/>
                <w:b/>
                <w:bCs/>
                <w:sz w:val="22"/>
                <w:szCs w:val="22"/>
              </w:rPr>
              <w:t xml:space="preserve">Fixed annuities credit interest at a rate no lower than the: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Current prime rate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Rate charged on policy loans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Average rate of competing insurers</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B) Contract's guaranteed minimum rate</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Fixed annuities guarantee a minimum interest crediting rate specified in the contract (e.g., 2% or 3%). The current (declared) rate may be higher but will never fall below the contractual guarantee, protecting the annuity owner from low-rate environments.</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Q41.  </w:t>
            </w:r>
            <w:r>
              <w:rPr>
                <w:rFonts w:ascii="Arial" w:cs="Arial" w:eastAsia="Arial" w:hAnsi="Arial"/>
                <w:b/>
                <w:bCs/>
                <w:sz w:val="22"/>
                <w:szCs w:val="22"/>
              </w:rPr>
              <w:t xml:space="preserve">An individual purchased a flexible premium deferred annuity. When must interest income be reported for federal tax purposes?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As soon as the contract is issued</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Only when the annuitant reaches age 59½</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Interest income from annuities is never taxable</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B) After first recovering the principal invested in the contract</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In a nonqualified deferred annuity, interest accumulates tax-deferred until withdrawal. When withdrawals begin, the LIFO (last-in, first-out) rule applies for nonqualified annuities — interest (earnings) comes out first and is taxable; principal (cost basis) is recovered tax-free afterward.</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Q56.  </w:t>
            </w:r>
            <w:r>
              <w:rPr>
                <w:rFonts w:ascii="Arial" w:cs="Arial" w:eastAsia="Arial" w:hAnsi="Arial"/>
                <w:b/>
                <w:bCs/>
                <w:sz w:val="22"/>
                <w:szCs w:val="22"/>
              </w:rPr>
              <w:t xml:space="preserve">A transaction in which an existing annuity contract is terminated and a new one is issued is called:</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Conversion</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Continuation</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Reinstatement</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C) Replacement</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Replacement occurs when an existing insurance or annuity contract is terminated, lapsed, surrendered, or substantially changed in connection with the purchase of a new contract. Replacement regulations require specific disclosures to protect consumers from unsuitable replacements.</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Q82.  </w:t>
            </w:r>
            <w:r>
              <w:rPr>
                <w:rFonts w:ascii="Arial" w:cs="Arial" w:eastAsia="Arial" w:hAnsi="Arial"/>
                <w:b/>
                <w:bCs/>
                <w:sz w:val="22"/>
                <w:szCs w:val="22"/>
              </w:rPr>
              <w:t xml:space="preserve">Which annuity payout option guarantees payments for the life of the annuitant, with no further payments made after death, even if death occurs shortly after payments begin?</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Joint and survivor annuity</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Life annuity with period certain</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Refund life annuity</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C) Straight life annuity (pure life annuity)</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A straight life (pure life) annuity pays income for the annuitant's lifetime only — payments stop at death with no refund to heirs, even if the annuitant dies shortly after payments begin. This option provides the highest monthly payment but no death benefit. Life with period certain guarantees a minimum number of payments.</w:t>
            </w:r>
          </w:p>
        </w:tc>
      </w:tr>
    </w:tbl>
    <w:p>
      <w:pPr>
        <w:spacing w:after="120" w:before="0"/>
      </w:pPr>
    </w:p>
    <w:p>
      <w:r>
        <w:br w:type="page"/>
      </w:r>
    </w:p>
    <w:p>
      <w:pPr>
        <w:shd w:fill="1F4E79" w:val="clear"/>
        <w:spacing w:after="160" w:before="0"/>
      </w:pPr>
      <w:r>
        <w:rPr>
          <w:rFonts w:ascii="Arial" w:cs="Arial" w:eastAsia="Arial" w:hAnsi="Arial"/>
          <w:b/>
          <w:bCs/>
          <w:color w:val="FFFFFF"/>
          <w:sz w:val="28"/>
          <w:szCs w:val="28"/>
        </w:rPr>
        <w:t xml:space="preserve">  POLICY PROVISIONS &amp; CLAUSES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Q23.  </w:t>
            </w:r>
            <w:r>
              <w:rPr>
                <w:rFonts w:ascii="Arial" w:cs="Arial" w:eastAsia="Arial" w:hAnsi="Arial"/>
                <w:b/>
                <w:bCs/>
                <w:sz w:val="22"/>
                <w:szCs w:val="22"/>
              </w:rPr>
              <w:t xml:space="preserve">The entire contract clause in a life insurance policy states that the policy, together with which of the following, constitutes the entire contract?</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The producer's sales brochure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The declarations page only</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Any verbal statements made by the producer</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B) The attached application</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The entire contract clause specifies that the policy and the attached application (copy) constitute the entire agreement between the parties. No other documents — brochures, verbal promises, or agent statements — can be considered part of the contract.</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Q28.  </w:t>
            </w:r>
            <w:r>
              <w:rPr>
                <w:rFonts w:ascii="Arial" w:cs="Arial" w:eastAsia="Arial" w:hAnsi="Arial"/>
                <w:b/>
                <w:bCs/>
                <w:sz w:val="22"/>
                <w:szCs w:val="22"/>
              </w:rPr>
              <w:t xml:space="preserve">Which of the following is a standard exclusion found in most life insurance policies?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Death due to natural causes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Death resulting from a chronic illness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Death resulting from aviation as a fare-paying passenger on a commercial airline</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D) Death occurring within 2 years of policy issue due to suicide</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The suicide exclusion is a standard life insurance policy exclusion — if the insured commits suicide within the first 1-2 years of the policy, the insurer typically returns only the premiums paid rather than paying the full death benefit. Deaths from natural causes and commercial airline travel are covered.</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Q39.  </w:t>
            </w:r>
            <w:r>
              <w:rPr>
                <w:rFonts w:ascii="Arial" w:cs="Arial" w:eastAsia="Arial" w:hAnsi="Arial"/>
                <w:b/>
                <w:bCs/>
                <w:sz w:val="22"/>
                <w:szCs w:val="22"/>
              </w:rPr>
              <w:t xml:space="preserve">A policy of life insurance may NOT be delivered unless the policy has: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A minimum face amount of $10,000</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A rider attached for accidental death</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Approval from the policyowner's employer</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A) A legible and brief description of the policy on the first page</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Maryland requires that life insurance policies include a brief, clear description of the type of policy on the first page. This disclosure ensures buyers understand what they purchased. There is no minimum face amount requirement, and employer approval is not required.</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Q49.  </w:t>
            </w:r>
            <w:r>
              <w:rPr>
                <w:rFonts w:ascii="Arial" w:cs="Arial" w:eastAsia="Arial" w:hAnsi="Arial"/>
                <w:b/>
                <w:bCs/>
                <w:sz w:val="22"/>
                <w:szCs w:val="22"/>
              </w:rPr>
              <w:t xml:space="preserve">If a life insurance premium is not paid and the policy lapses, what must occur before the policy can be reinstated?</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The policyowner must purchase a new policy</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The insurer must agree to a reduced face amount</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The beneficiary must consent to the reinstatement</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C) The insured must provide evidence of insurability and pay all overdue premiums with interest</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To reinstate a lapsed life insurance policy, the policyowner generally must: (1) apply within the reinstatement period (usually 3-5 years), (2) provide satisfactory evidence of insurability, and (3) pay all past-due premiums with interest. Reinstatement restores the original policy rather than requiring a new one.</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Q73.  </w:t>
            </w:r>
            <w:r>
              <w:rPr>
                <w:rFonts w:ascii="Arial" w:cs="Arial" w:eastAsia="Arial" w:hAnsi="Arial"/>
                <w:b/>
                <w:bCs/>
                <w:sz w:val="22"/>
                <w:szCs w:val="22"/>
              </w:rPr>
              <w:t xml:space="preserve">The incontestability clause in a life insurance policy prevents the insurer from contesting the validity of the policy after it has been in force for:</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6 months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1 year</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5 years</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C) 2 years</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After 2 years (the standard incontestability period), the insurer cannot void the policy based on misrepresentations in the application, except for fraud in cases where some states allow longer periods. This clause protects policyowners from having claims denied years after issue for application errors.</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Q80.  </w:t>
            </w:r>
            <w:r>
              <w:rPr>
                <w:rFonts w:ascii="Arial" w:cs="Arial" w:eastAsia="Arial" w:hAnsi="Arial"/>
                <w:b/>
                <w:bCs/>
                <w:sz w:val="22"/>
                <w:szCs w:val="22"/>
              </w:rPr>
              <w:t xml:space="preserve">Under a life insurance policy, the grace period typically allows the policyowner how many days to pay an overdue premium before the policy lapses?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10 days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60 days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90 days</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B) 31 days</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Life insurance policies are required by law to provide a grace period of at least 31 days (one month) after a premium due date during which coverage continues and the overdue premium may be paid without penalty. If the insured dies during the grace period, the unpaid premium is deducted from the death benefit.</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Q81.  </w:t>
            </w:r>
            <w:r>
              <w:rPr>
                <w:rFonts w:ascii="Arial" w:cs="Arial" w:eastAsia="Arial" w:hAnsi="Arial"/>
                <w:b/>
                <w:bCs/>
                <w:sz w:val="22"/>
                <w:szCs w:val="22"/>
              </w:rPr>
              <w:t xml:space="preserve">A life insurance replacement occurs when:</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An existing policy is reinstated after lapsing</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A beneficiary is changed on an existing policy</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A policy loan is repaid in full</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B) A new policy is purchased and an existing policy is lapsed, surrendered, or reduced in value</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Replacement is defined as any transaction where a new life insurance policy is purchased in connection with the lapse, surrender, conversion, reduction, or assignment of an existing policy. Replacement regulations require specific disclosures to protect consumers from unsuitable replacements.</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Q84.  </w:t>
            </w:r>
            <w:r>
              <w:rPr>
                <w:rFonts w:ascii="Arial" w:cs="Arial" w:eastAsia="Arial" w:hAnsi="Arial"/>
                <w:b/>
                <w:bCs/>
                <w:sz w:val="22"/>
                <w:szCs w:val="22"/>
              </w:rPr>
              <w:t xml:space="preserve">Which provision in a life insurance policy gives the policyowner a specified period of time to review the policy after delivery and return it for a full refund?</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Grace period</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Reinstatement period</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Suicide clause period</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B) Free look period</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The free look period (typically 10 days for most life policies, longer for some products) allows the policyowner to review the delivered policy and return it for a complete premium refund if not satisfied — no questions asked. This protects buyers from high-pressure sales.</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Q87.  </w:t>
            </w:r>
            <w:r>
              <w:rPr>
                <w:rFonts w:ascii="Arial" w:cs="Arial" w:eastAsia="Arial" w:hAnsi="Arial"/>
                <w:b/>
                <w:bCs/>
                <w:sz w:val="22"/>
                <w:szCs w:val="22"/>
              </w:rPr>
              <w:t xml:space="preserve">The 'suicide clause' in a life insurance policy typically limits the insurer's liability if the insured commits suicide within:</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6 months of policy issue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5 years of policy issue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The insured's lifetime</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B) 1 to 2 years of policy issue</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The suicide exclusion clause typically provides that if the insured commits suicide within the first 1-2 years (most commonly 2 years) of the policy, the insurer's liability is limited to returning the premiums paid rather than paying the full death benefit. After this period, suicide is covered.</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Q88.  </w:t>
            </w:r>
            <w:r>
              <w:rPr>
                <w:rFonts w:ascii="Arial" w:cs="Arial" w:eastAsia="Arial" w:hAnsi="Arial"/>
                <w:b/>
                <w:bCs/>
                <w:sz w:val="22"/>
                <w:szCs w:val="22"/>
              </w:rPr>
              <w:t xml:space="preserve">Which life insurance policy provision states that if the insured's age was misstated on the application, the death benefit will be adjusted to what the premium paid would have purchased at the correct age?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Incontestability clause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Entire contract clause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Ownership clause</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B) Misstatement of age or sex provision</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The misstatement of age or sex provision adjusts the death benefit (not the premium) to reflect what the actual premium would have purchased at the insured's true age and sex. This remedy applies even after the incontestability period has expired, because it adjusts rather than voids coverage.</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Q89.  </w:t>
            </w:r>
            <w:r>
              <w:rPr>
                <w:rFonts w:ascii="Arial" w:cs="Arial" w:eastAsia="Arial" w:hAnsi="Arial"/>
                <w:b/>
                <w:bCs/>
                <w:sz w:val="22"/>
                <w:szCs w:val="22"/>
              </w:rPr>
              <w:t xml:space="preserve">A life insurance policy's cash value grows on a tax-deferred basis, meaning:</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The growth is never taxed</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The growth is taxed annually as ordinary income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The growth is taxed at capital gains rates each year</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B) Taxes on the growth are deferred until withdrawal or surrender</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Tax deferral means that income taxes on cash value growth are postponed — not eliminated. The policyholder owes no taxes on cash value accumulation each year; taxes (if any) become due only when the policy is surrendered or funds are withdrawn in excess of cost basis.</w:t>
            </w:r>
          </w:p>
        </w:tc>
      </w:tr>
    </w:tbl>
    <w:p>
      <w:pPr>
        <w:spacing w:after="120" w:before="0"/>
      </w:pPr>
    </w:p>
    <w:p>
      <w:r>
        <w:br w:type="page"/>
      </w:r>
    </w:p>
    <w:p>
      <w:pPr>
        <w:shd w:fill="1F4E79" w:val="clear"/>
        <w:spacing w:after="160" w:before="0"/>
      </w:pPr>
      <w:r>
        <w:rPr>
          <w:rFonts w:ascii="Arial" w:cs="Arial" w:eastAsia="Arial" w:hAnsi="Arial"/>
          <w:b/>
          <w:bCs/>
          <w:color w:val="FFFFFF"/>
          <w:sz w:val="28"/>
          <w:szCs w:val="28"/>
        </w:rPr>
        <w:t xml:space="preserve">  RIDERS &amp; ADDITIONAL BENEFITS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Q18.  </w:t>
            </w:r>
            <w:r>
              <w:rPr>
                <w:rFonts w:ascii="Arial" w:cs="Arial" w:eastAsia="Arial" w:hAnsi="Arial"/>
                <w:b/>
                <w:bCs/>
                <w:sz w:val="22"/>
                <w:szCs w:val="22"/>
              </w:rPr>
              <w:t xml:space="preserve">A guaranteed insurability rider on a life insurance policy allows the policyowner to:</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Cancel the policy at any time without penalty</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Borrow against the cash value without interest</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Convert the policy to an annuity</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B) Increase the death benefit without further proof of insurability at specified future dates</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The guaranteed insurability (guaranteed purchase) rider grants the policyowner the option to purchase additional life insurance coverage at specified future dates (e.g., every 3 years, or upon marriage/birth of child) without providing evidence of insurability.</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Q45.  </w:t>
            </w:r>
            <w:r>
              <w:rPr>
                <w:rFonts w:ascii="Arial" w:cs="Arial" w:eastAsia="Arial" w:hAnsi="Arial"/>
                <w:b/>
                <w:bCs/>
                <w:sz w:val="22"/>
                <w:szCs w:val="22"/>
              </w:rPr>
              <w:t xml:space="preserve">An individual life insurance policy may include coverage for all of the following EXCEPT:</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Accidental death</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Disability income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Long-term care</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C) Workers' compensation</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Workers' compensation is a statutory employer-provided benefit (not an individual life insurance policy feature). Life insurance policies can include riders for accidental death benefits, disability income (waiver of premium, disability income riders), and long-term care benefits.</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Q55.  </w:t>
            </w:r>
            <w:r>
              <w:rPr>
                <w:rFonts w:ascii="Arial" w:cs="Arial" w:eastAsia="Arial" w:hAnsi="Arial"/>
                <w:b/>
                <w:bCs/>
                <w:sz w:val="22"/>
                <w:szCs w:val="22"/>
              </w:rPr>
              <w:t xml:space="preserve">A waiver of premium rider on a life insurance policy means that premiums are waived if the insured becomes: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Unemployed</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Diagnosed with any illness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Over the age of 65</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B) Totally disabled for a specified period</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The waiver of premium rider in a life insurance policy waives premium payments if the insured becomes totally disabled for the required waiting period (usually 6 months). The policy remains in force without premium payments during the disability. Most riders terminate at age 60 or 65.</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Q61.  </w:t>
            </w:r>
            <w:r>
              <w:rPr>
                <w:rFonts w:ascii="Arial" w:cs="Arial" w:eastAsia="Arial" w:hAnsi="Arial"/>
                <w:b/>
                <w:bCs/>
                <w:sz w:val="22"/>
                <w:szCs w:val="22"/>
              </w:rPr>
              <w:t xml:space="preserve">An accelerated death benefit rider allows the policyowner to:</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Increase the death benefit without additional premium</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Accelerate premium payments to pay off the policy sooner</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Convert the policy to an annuity at a discounted rate</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B) Receive a portion of the death benefit while still living if diagnosed with a terminal illness</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The accelerated death benefit (living benefit) rider allows a terminally ill insured to receive a portion (typically 25-75%) of the death benefit before death to help pay for medical expenses or other needs. The remaining death benefit paid to beneficiaries is reduced by the amount advanced.</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Q75.  </w:t>
            </w:r>
            <w:r>
              <w:rPr>
                <w:rFonts w:ascii="Arial" w:cs="Arial" w:eastAsia="Arial" w:hAnsi="Arial"/>
                <w:b/>
                <w:bCs/>
                <w:sz w:val="22"/>
                <w:szCs w:val="22"/>
              </w:rPr>
              <w:t xml:space="preserve">The extended term nonforfeiture option uses the policy's cash value to:</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Purchase a reduced amount of paid-up whole life insurance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Pay the overdue premium and maintain the original policy</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Convert the policy to an annuity contract</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B) Purchase term insurance for the original face amount for as long as the cash value allows</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Extended term insurance uses the policy's cash value as a single premium to purchase term insurance equal to the original face amount for as long as the cash value can fund. It is typically the automatic (default) nonforfeiture option if the policyowner does not elect another option. Reduced paid-up provides a smaller face amount for life; extended term provides the full face amount for a limited time.</w:t>
            </w:r>
          </w:p>
        </w:tc>
      </w:tr>
    </w:tbl>
    <w:p>
      <w:pPr>
        <w:spacing w:after="120" w:before="0"/>
      </w:pPr>
    </w:p>
    <w:p>
      <w:r>
        <w:br w:type="page"/>
      </w:r>
    </w:p>
    <w:p>
      <w:pPr>
        <w:shd w:fill="1F4E79" w:val="clear"/>
        <w:spacing w:after="160" w:before="0"/>
      </w:pPr>
      <w:r>
        <w:rPr>
          <w:rFonts w:ascii="Arial" w:cs="Arial" w:eastAsia="Arial" w:hAnsi="Arial"/>
          <w:b/>
          <w:bCs/>
          <w:color w:val="FFFFFF"/>
          <w:sz w:val="28"/>
          <w:szCs w:val="28"/>
        </w:rPr>
        <w:t xml:space="preserve">  POLICYOWNER RIGHTS &amp; OPTIONS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Q4.  </w:t>
            </w:r>
            <w:r>
              <w:rPr>
                <w:rFonts w:ascii="Arial" w:cs="Arial" w:eastAsia="Arial" w:hAnsi="Arial"/>
                <w:b/>
                <w:bCs/>
                <w:sz w:val="22"/>
                <w:szCs w:val="22"/>
              </w:rPr>
              <w:t xml:space="preserve">The policyowner of a life insurance policy has all of the following rights EXCEPT:</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The right to name or change the beneficiary</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The right to assign the policy</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The right to take out a policy loan</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C) The right to approve or deny claims</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Policyowners have contractual rights including naming beneficiaries, assigning the policy, borrowing against cash value, and selecting settlement options. Claim approval and payment decisions belong exclusively to the insurer, not the policyowner.</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Q51.  </w:t>
            </w:r>
            <w:r>
              <w:rPr>
                <w:rFonts w:ascii="Arial" w:cs="Arial" w:eastAsia="Arial" w:hAnsi="Arial"/>
                <w:b/>
                <w:bCs/>
                <w:sz w:val="22"/>
                <w:szCs w:val="22"/>
              </w:rPr>
              <w:t xml:space="preserve">A life insurance policy with a face amount of $100,000 has an outstanding policy loan of $20,000. If the insured dies, the beneficiary receives: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$100,000 with no reduction</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$120,000 (face amount plus accumulated interest)</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Nothing, because the loan voided the policy</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B) $80,000 (face amount minus outstanding loan)</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Outstanding policy loans are deducted from the death benefit at the time of claim. If the insured dies with a $20,000 loan on a $100,000 policy, the beneficiary receives $80,000. The policy remains in force as long as cash value exceeds the loan balance plus interest.</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Q69.  </w:t>
            </w:r>
            <w:r>
              <w:rPr>
                <w:rFonts w:ascii="Arial" w:cs="Arial" w:eastAsia="Arial" w:hAnsi="Arial"/>
                <w:b/>
                <w:bCs/>
                <w:sz w:val="22"/>
                <w:szCs w:val="22"/>
              </w:rPr>
              <w:t xml:space="preserve">Which nonforfeiture option allows a policyowner to use the policy's cash value to purchase a single premium whole life policy for a reduced face amount?</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Cash surrender option</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Extended term option</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Automatic premium loan</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B) Reduced paid-up option</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The reduced paid-up option uses accumulated cash value to purchase a paid-up whole life policy with a reduced (smaller) face amount — no further premiums are required. Extended term uses cash value to purchase term insurance for the original face amount. Cash surrender pays out the cash value in a lump sum.</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Q70.  </w:t>
            </w:r>
            <w:r>
              <w:rPr>
                <w:rFonts w:ascii="Arial" w:cs="Arial" w:eastAsia="Arial" w:hAnsi="Arial"/>
                <w:b/>
                <w:bCs/>
                <w:sz w:val="22"/>
                <w:szCs w:val="22"/>
              </w:rPr>
              <w:t xml:space="preserve">A life insurance policy loan provision allows the policyowner to borrow against the policy's: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Death benefit</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Face amount</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Premium paid</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B) Cash value</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Policy loans in permanent life insurance are secured by the policy's cash value. The policyowner may borrow up to the available cash value without credit checks or repayment schedules. Outstanding loans plus interest reduce the death benefit if not repaid.</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Q71.  </w:t>
            </w:r>
            <w:r>
              <w:rPr>
                <w:rFonts w:ascii="Arial" w:cs="Arial" w:eastAsia="Arial" w:hAnsi="Arial"/>
                <w:b/>
                <w:bCs/>
                <w:sz w:val="22"/>
                <w:szCs w:val="22"/>
              </w:rPr>
              <w:t xml:space="preserve">Which life insurance settlement option pays the policy proceeds to the beneficiary as a single lump sum?</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Interest option</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Fixed period option</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Life income option</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C) Cash option</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The cash (lump sum) option pays the entire policy proceeds to the beneficiary in one payment. The interest option leaves proceeds with the insurer and pays only interest. Fixed period and life income options pay installments over time.</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Q77.  </w:t>
            </w:r>
            <w:r>
              <w:rPr>
                <w:rFonts w:ascii="Arial" w:cs="Arial" w:eastAsia="Arial" w:hAnsi="Arial"/>
                <w:b/>
                <w:bCs/>
                <w:sz w:val="22"/>
                <w:szCs w:val="22"/>
              </w:rPr>
              <w:t xml:space="preserve">Which type of life insurance beneficiary designation gives the policyowner the right to change the beneficiary at any time without consent?</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Irrevocable beneficiary</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Contingent beneficiary</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Tertiary beneficiary</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B) Revocable beneficiary</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A revocable beneficiary designation allows the policyowner to change the beneficiary at any time without the beneficiary's consent. Irrevocable beneficiaries cannot be changed without their written consent, giving them a protected interest in the policy.</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Q79.  </w:t>
            </w:r>
            <w:r>
              <w:rPr>
                <w:rFonts w:ascii="Arial" w:cs="Arial" w:eastAsia="Arial" w:hAnsi="Arial"/>
                <w:b/>
                <w:bCs/>
                <w:sz w:val="22"/>
                <w:szCs w:val="22"/>
              </w:rPr>
              <w:t xml:space="preserve">Which dividend option allows a policyowner to use dividends to purchase additional amounts of paid-up whole life insurance?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Cash dividend option</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Accumulation at interest</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One-year term option</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C) Paid-up additions</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Paid-up additions (PUAs) use policy dividends to purchase small amounts of fully paid-up whole life insurance with no future premium required. PUAs increase both the death benefit and cash value of the policy each year dividends are earned.</w:t>
            </w:r>
          </w:p>
        </w:tc>
      </w:tr>
    </w:tbl>
    <w:p>
      <w:pPr>
        <w:spacing w:after="120" w:before="0"/>
      </w:pPr>
    </w:p>
    <w:p>
      <w:r>
        <w:br w:type="page"/>
      </w:r>
    </w:p>
    <w:p>
      <w:pPr>
        <w:shd w:fill="1F4E79" w:val="clear"/>
        <w:spacing w:after="160" w:before="0"/>
      </w:pPr>
      <w:r>
        <w:rPr>
          <w:rFonts w:ascii="Arial" w:cs="Arial" w:eastAsia="Arial" w:hAnsi="Arial"/>
          <w:b/>
          <w:bCs/>
          <w:color w:val="FFFFFF"/>
          <w:sz w:val="28"/>
          <w:szCs w:val="28"/>
        </w:rPr>
        <w:t xml:space="preserve">  BENEFICIARIES &amp; ASSIGNMENTS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Q37.  </w:t>
            </w:r>
            <w:r>
              <w:rPr>
                <w:rFonts w:ascii="Arial" w:cs="Arial" w:eastAsia="Arial" w:hAnsi="Arial"/>
                <w:b/>
                <w:bCs/>
                <w:sz w:val="22"/>
                <w:szCs w:val="22"/>
              </w:rPr>
              <w:t xml:space="preserve">One reason for naming a trust, rather than an individual, as a life insurance beneficiary is to:</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Avoid paying any taxes on the proceeds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Increase the death benefit</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Eliminate the need for an insurable interest</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B) Provide management of the proceeds</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Naming a trust as beneficiary allows a trustee to professionally manage and distribute the life insurance proceeds according to the trust's terms. This is especially useful when beneficiaries are minors, have special needs, or when the grantor wants to control how money is used over time.</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Q60.  </w:t>
            </w:r>
            <w:r>
              <w:rPr>
                <w:rFonts w:ascii="Arial" w:cs="Arial" w:eastAsia="Arial" w:hAnsi="Arial"/>
                <w:b/>
                <w:bCs/>
                <w:sz w:val="22"/>
                <w:szCs w:val="22"/>
              </w:rPr>
              <w:t xml:space="preserve">A collateral assignment of a life insurance policy is used to:</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Transfer all ownership rights to a new policyowner permanently</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Name an irrevocable beneficiary on the policy</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Convert a term policy to whole life insurance</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B) Assign the policy as security for a loan, with rights reverting upon repayment</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A collateral assignment temporarily transfers partial policy rights to a creditor as security for a loan. When the loan is repaid, all rights revert to the policyowner. This differs from an absolute assignment, which permanently transfers all ownership rights to another party.</w:t>
            </w:r>
          </w:p>
        </w:tc>
      </w:tr>
    </w:tbl>
    <w:p>
      <w:pPr>
        <w:spacing w:after="120" w:before="0"/>
      </w:pPr>
    </w:p>
    <w:p>
      <w:r>
        <w:br w:type="page"/>
      </w:r>
    </w:p>
    <w:p>
      <w:pPr>
        <w:shd w:fill="1F4E79" w:val="clear"/>
        <w:spacing w:after="160" w:before="0"/>
      </w:pPr>
      <w:r>
        <w:rPr>
          <w:rFonts w:ascii="Arial" w:cs="Arial" w:eastAsia="Arial" w:hAnsi="Arial"/>
          <w:b/>
          <w:bCs/>
          <w:color w:val="FFFFFF"/>
          <w:sz w:val="28"/>
          <w:szCs w:val="28"/>
        </w:rPr>
        <w:t xml:space="preserve">  UNDERWRITING &amp; RISK CLASSIFICATION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Q6.  </w:t>
            </w:r>
            <w:r>
              <w:rPr>
                <w:rFonts w:ascii="Arial" w:cs="Arial" w:eastAsia="Arial" w:hAnsi="Arial"/>
                <w:b/>
                <w:bCs/>
                <w:sz w:val="22"/>
                <w:szCs w:val="22"/>
              </w:rPr>
              <w:t xml:space="preserve">An applicant for life insurance is classified as a substandard risk. Which of the following is most likely to be true?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The applicant will be denied coverage entirely</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The applicant will be offered coverage at the preferred rate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The applicant's policy will include no exclusions</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B) The applicant will pay a higher premium or receive modified coverage</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Substandard (rated) risks present greater-than-average mortality risk. Insurers typically still offer coverage but charge a higher (rated) premium, reduce the death benefit, or attach exclusion riders. Outright denial is rare and only occurs for very high-risk applicants.</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Q20.  </w:t>
            </w:r>
            <w:r>
              <w:rPr>
                <w:rFonts w:ascii="Arial" w:cs="Arial" w:eastAsia="Arial" w:hAnsi="Arial"/>
                <w:b/>
                <w:bCs/>
                <w:sz w:val="22"/>
                <w:szCs w:val="22"/>
              </w:rPr>
              <w:t xml:space="preserve">Which of the following is NOT a permissible underwriting factor for individual life insurance?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Age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Gender</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Health history</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B) Race</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Race is never a permissible underwriting factor — it constitutes illegal discrimination. Age, gender, and health history are all relevant and lawful factors in life insurance underwriting because they correlate with mortality risk and life expectancy.</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Q30.  </w:t>
            </w:r>
            <w:r>
              <w:rPr>
                <w:rFonts w:ascii="Arial" w:cs="Arial" w:eastAsia="Arial" w:hAnsi="Arial"/>
                <w:b/>
                <w:bCs/>
                <w:sz w:val="22"/>
                <w:szCs w:val="22"/>
              </w:rPr>
              <w:t xml:space="preserve">When delivering a life insurance policy, the producer should:</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Leave the policy without explaining the contents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Ask the policyowner to sign away their free-look rights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Discourage the policyowner from reading the policy</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A) Collect the first premium only if not already paid with the application</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At policy delivery, the producer should explain the policy's provisions, collect any outstanding initial premium if not already paid, and inform the policyowner of their free-look right. Producers must not suppress the free-look period or discourage review of the policy.</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Q46.  </w:t>
            </w:r>
            <w:r>
              <w:rPr>
                <w:rFonts w:ascii="Arial" w:cs="Arial" w:eastAsia="Arial" w:hAnsi="Arial"/>
                <w:b/>
                <w:bCs/>
                <w:sz w:val="22"/>
                <w:szCs w:val="22"/>
              </w:rPr>
              <w:t xml:space="preserve">A juvenile life insurance policy is: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A policy that only an adult may purchase for themselves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Only available as group coverage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A policy that cannot build cash value</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C) A life insurance policy that insures the life of a minor</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Juvenile life insurance is a policy issued on the life of a minor child, typically owned by a parent or guardian who pays the premiums. These policies can build cash value and are commonly used to lock in low premiums at a young age or provide savings for the child.</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Q47.  </w:t>
            </w:r>
            <w:r>
              <w:rPr>
                <w:rFonts w:ascii="Arial" w:cs="Arial" w:eastAsia="Arial" w:hAnsi="Arial"/>
                <w:b/>
                <w:bCs/>
                <w:sz w:val="22"/>
                <w:szCs w:val="22"/>
              </w:rPr>
              <w:t xml:space="preserve">An applicant for life insurance must be informed that testing for Human Immunodeficiency Virus (HIV) infection is used to help determine: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The type of policy that will be issued</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The effective date and term of coverage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Whether an insurable interest exists</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D) The insurability of the proposed insured</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HIV testing in life insurance underwriting is used to assess the insurability (health risk) of the proposed insured. Applicants must be informed in advance that HIV testing may be conducted, and results are used to make underwriting decisions.</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Q52.  </w:t>
            </w:r>
            <w:r>
              <w:rPr>
                <w:rFonts w:ascii="Arial" w:cs="Arial" w:eastAsia="Arial" w:hAnsi="Arial"/>
                <w:b/>
                <w:bCs/>
                <w:sz w:val="22"/>
                <w:szCs w:val="22"/>
              </w:rPr>
              <w:t xml:space="preserve">An applicant who is issued a life insurance policy at the insurer's standard premium rate is considered a:</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Rated policyowner</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Preferred risk</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Substandard risk</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C) Standard risk</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A standard risk is an applicant whose health, lifestyle, and mortality profile is average for their age group — they receive coverage at the insurer's standard (average) premium rates. Preferred risks have better-than-average profiles and pay lower rates; substandard risks pay higher rates or receive modified coverage.</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Q65.  </w:t>
            </w:r>
            <w:r>
              <w:rPr>
                <w:rFonts w:ascii="Arial" w:cs="Arial" w:eastAsia="Arial" w:hAnsi="Arial"/>
                <w:b/>
                <w:bCs/>
                <w:sz w:val="22"/>
                <w:szCs w:val="22"/>
              </w:rPr>
              <w:t xml:space="preserve">Field underwriting usually differs from home office underwriting in that the producer:</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Requires information on existing coverage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Requires information on the applicant's health</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Attempts to reduce moral hazard</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C) Has personal contact with the applicant</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The key distinction of field underwriting is that the producer has direct personal contact with the applicant — observing their appearance, demeanor, and lifestyle firsthand. Home office underwriters review paper files without meeting the applicant. Both gather health information and try to assess risk.</w:t>
            </w:r>
          </w:p>
        </w:tc>
      </w:tr>
    </w:tbl>
    <w:p>
      <w:pPr>
        <w:spacing w:after="120" w:before="0"/>
      </w:pPr>
    </w:p>
    <w:p>
      <w:r>
        <w:br w:type="page"/>
      </w:r>
    </w:p>
    <w:p>
      <w:pPr>
        <w:shd w:fill="1F4E79" w:val="clear"/>
        <w:spacing w:after="160" w:before="0"/>
      </w:pPr>
      <w:r>
        <w:rPr>
          <w:rFonts w:ascii="Arial" w:cs="Arial" w:eastAsia="Arial" w:hAnsi="Arial"/>
          <w:b/>
          <w:bCs/>
          <w:color w:val="FFFFFF"/>
          <w:sz w:val="28"/>
          <w:szCs w:val="28"/>
        </w:rPr>
        <w:t xml:space="preserve">  INSURABLE INTEREST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Q17.  </w:t>
            </w:r>
            <w:r>
              <w:rPr>
                <w:rFonts w:ascii="Arial" w:cs="Arial" w:eastAsia="Arial" w:hAnsi="Arial"/>
                <w:b/>
                <w:bCs/>
                <w:sz w:val="22"/>
                <w:szCs w:val="22"/>
              </w:rPr>
              <w:t xml:space="preserve">Under Maryland law, when must an insurable interest exist for a life insurance policy to be valid?</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Only at the time of the insured's death</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Throughout the entire life of the policy</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Only when a claim is filed</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B) At the inception of the contract (time of application)</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In life insurance, insurable interest must exist at the time the policy is issued (inception/application). Unlike property insurance, it does not need to continue throughout the policy's life. A validly issued policy remains in force even if the insurable interest later disappears.</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Q35.  </w:t>
            </w:r>
            <w:r>
              <w:rPr>
                <w:rFonts w:ascii="Arial" w:cs="Arial" w:eastAsia="Arial" w:hAnsi="Arial"/>
                <w:b/>
                <w:bCs/>
                <w:sz w:val="22"/>
                <w:szCs w:val="22"/>
              </w:rPr>
              <w:t xml:space="preserve">All of the following normally indicate the presence of insurable interest EXCEPT:</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An individual's interest in their own life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A creditor's interest in a debtor's life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A spouse's interest in their spouse's life</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D) Co-signing a mortgage with another person</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Co-signing a mortgage creates a financial relationship but does not inherently create insurable interest in the co-signer's life the way that direct financial dependence or relationship does. Individuals have insurable interest in their own life; creditors have interest in debtors; spouses have interest in each other.</w:t>
            </w:r>
          </w:p>
        </w:tc>
      </w:tr>
    </w:tbl>
    <w:p>
      <w:pPr>
        <w:spacing w:after="120" w:before="0"/>
      </w:pPr>
    </w:p>
    <w:p>
      <w:r>
        <w:br w:type="page"/>
      </w:r>
    </w:p>
    <w:p>
      <w:pPr>
        <w:shd w:fill="1F4E79" w:val="clear"/>
        <w:spacing w:after="160" w:before="0"/>
      </w:pPr>
      <w:r>
        <w:rPr>
          <w:rFonts w:ascii="Arial" w:cs="Arial" w:eastAsia="Arial" w:hAnsi="Arial"/>
          <w:b/>
          <w:bCs/>
          <w:color w:val="FFFFFF"/>
          <w:sz w:val="28"/>
          <w:szCs w:val="28"/>
        </w:rPr>
        <w:t xml:space="preserve">  GROUP LIFE INSURANCE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Q9.  </w:t>
            </w:r>
            <w:r>
              <w:rPr>
                <w:rFonts w:ascii="Arial" w:cs="Arial" w:eastAsia="Arial" w:hAnsi="Arial"/>
                <w:b/>
                <w:bCs/>
                <w:sz w:val="22"/>
                <w:szCs w:val="22"/>
              </w:rPr>
              <w:t xml:space="preserve">Under a group life insurance plan, an employee who terminates employment has the right to:</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Continue the same group coverage at the same group premium indefinitely</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Assign the group policy to a new employer immediately</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Receive a cash surrender value equal to premiums paid</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B) Convert to an individual policy without evidence of insurability within 31 days</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The conversion privilege in group life insurance allows a terminating employee to convert their group coverage to an individual policy within 31 days without a medical exam. The individual policy premium will be higher (based on attained age and risk class), but no evidence of insurability is required.</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Q29.  </w:t>
            </w:r>
            <w:r>
              <w:rPr>
                <w:rFonts w:ascii="Arial" w:cs="Arial" w:eastAsia="Arial" w:hAnsi="Arial"/>
                <w:b/>
                <w:bCs/>
                <w:sz w:val="22"/>
                <w:szCs w:val="22"/>
              </w:rPr>
              <w:t xml:space="preserve">An employee covered under a group life insurance plan usually is: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Covered by a whole life policy owned by the employee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Required to take a medical exam each year</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Issued an individual policy that follows them to any employer</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D) Covered by renewable term insurance</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Group life insurance is almost always annual renewable term insurance. Coverage is provided through a certificate (not an individual policy) and typically ends when employment ends. No medical exams are required for eligible employees. Conversion rights may allow employees to convert to individual coverage.</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Q32.  </w:t>
            </w:r>
            <w:r>
              <w:rPr>
                <w:rFonts w:ascii="Arial" w:cs="Arial" w:eastAsia="Arial" w:hAnsi="Arial"/>
                <w:b/>
                <w:bCs/>
                <w:sz w:val="22"/>
                <w:szCs w:val="22"/>
              </w:rPr>
              <w:t xml:space="preserve">The master contract in a group life insurance plan is issued to:</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Each individual employee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The group's insurance agent</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The Maryland Insurance Administration</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C) The employer or group sponsor</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In group life insurance, the master contract (policy) is issued to the employer or group sponsor, while individual employees receive certificates of coverage. The master contract contains all the terms and conditions; certificates are summaries of coverage for each member.</w:t>
            </w:r>
          </w:p>
        </w:tc>
      </w:tr>
    </w:tbl>
    <w:p>
      <w:pPr>
        <w:spacing w:after="120" w:before="0"/>
      </w:pPr>
    </w:p>
    <w:p>
      <w:r>
        <w:br w:type="page"/>
      </w:r>
    </w:p>
    <w:p>
      <w:pPr>
        <w:shd w:fill="1F4E79" w:val="clear"/>
        <w:spacing w:after="160" w:before="0"/>
      </w:pPr>
      <w:r>
        <w:rPr>
          <w:rFonts w:ascii="Arial" w:cs="Arial" w:eastAsia="Arial" w:hAnsi="Arial"/>
          <w:b/>
          <w:bCs/>
          <w:color w:val="FFFFFF"/>
          <w:sz w:val="28"/>
          <w:szCs w:val="28"/>
        </w:rPr>
        <w:t xml:space="preserve">  BUSINESS USES OF LIFE INSURANCE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Q74.  </w:t>
            </w:r>
            <w:r>
              <w:rPr>
                <w:rFonts w:ascii="Arial" w:cs="Arial" w:eastAsia="Arial" w:hAnsi="Arial"/>
                <w:b/>
                <w:bCs/>
                <w:sz w:val="22"/>
                <w:szCs w:val="22"/>
              </w:rPr>
              <w:t xml:space="preserve">A buy-sell agreement funded by life insurance is most commonly used to:</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Provide retirement income for business owners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Provide group life insurance to employees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Reduce corporate income tax liability</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B) Fund the purchase of a deceased owner's business interest</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A buy-sell agreement is a legally binding contract that determines what happens to a business owner's interest at death, disability, or retirement. Life insurance funding ensures that surviving owners have cash (the death benefit) to purchase the deceased owner's interest from their estate.</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Q78.  </w:t>
            </w:r>
            <w:r>
              <w:rPr>
                <w:rFonts w:ascii="Arial" w:cs="Arial" w:eastAsia="Arial" w:hAnsi="Arial"/>
                <w:b/>
                <w:bCs/>
                <w:sz w:val="22"/>
                <w:szCs w:val="22"/>
              </w:rPr>
              <w:t xml:space="preserve">A key person life insurance policy is owned by:</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The key employee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The employee's family</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A trust established by the employee</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C) The business</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In key person insurance, the business is the policyowner, premium payer, and beneficiary. The business insures the life of a key employee whose death would cause significant financial loss. The business receives the death benefit to offset the cost of recruiting and training a replacement.</w:t>
            </w:r>
          </w:p>
        </w:tc>
      </w:tr>
    </w:tbl>
    <w:p>
      <w:pPr>
        <w:spacing w:after="120" w:before="0"/>
      </w:pPr>
    </w:p>
    <w:p>
      <w:r>
        <w:br w:type="page"/>
      </w:r>
    </w:p>
    <w:p>
      <w:pPr>
        <w:shd w:fill="1F4E79" w:val="clear"/>
        <w:spacing w:after="160" w:before="0"/>
      </w:pPr>
      <w:r>
        <w:rPr>
          <w:rFonts w:ascii="Arial" w:cs="Arial" w:eastAsia="Arial" w:hAnsi="Arial"/>
          <w:b/>
          <w:bCs/>
          <w:color w:val="FFFFFF"/>
          <w:sz w:val="28"/>
          <w:szCs w:val="28"/>
        </w:rPr>
        <w:t xml:space="preserve">  TAX, RETIREMENT &amp; 1035 EXCHANGES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Q24.  </w:t>
            </w:r>
            <w:r>
              <w:rPr>
                <w:rFonts w:ascii="Arial" w:cs="Arial" w:eastAsia="Arial" w:hAnsi="Arial"/>
                <w:b/>
                <w:bCs/>
                <w:sz w:val="22"/>
                <w:szCs w:val="22"/>
              </w:rPr>
              <w:t xml:space="preserve">Under Section 1035 of the Internal Revenue Code, which of the following exchanges is permitted on a tax-free basis?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An annuity contract for a life insurance policy</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An annuity contract for a health savings account</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A life insurance policy for a mutual fund</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B) A life insurance policy for an annuity contract</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Section 1035 allows tax-free exchanges of: life insurance for life insurance, life insurance for annuity, annuity for annuity, and life/annuity for long-term care insurance. You CANNOT exchange an annuity for a life insurance policy (that goes the wrong direction) or for non-insurance products like mutual funds.</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Q33.  </w:t>
            </w:r>
            <w:r>
              <w:rPr>
                <w:rFonts w:ascii="Arial" w:cs="Arial" w:eastAsia="Arial" w:hAnsi="Arial"/>
                <w:b/>
                <w:bCs/>
                <w:sz w:val="22"/>
                <w:szCs w:val="22"/>
              </w:rPr>
              <w:t xml:space="preserve">Premiums paid by an individual for a personally owned life insurance policy are: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Fully tax-deductible as a personal expense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Deductible only if the policy has a cash value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Deductible up to $2,500 per year</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C) Not tax-deductible for federal income tax purposes</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Individuals cannot deduct personal life insurance premiums on their federal income tax returns. However, death benefits are generally received income-tax-free by beneficiaries. Business-owned life insurance premiums are also generally not deductible when the business is the beneficiary.</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Q34.  </w:t>
            </w:r>
            <w:r>
              <w:rPr>
                <w:rFonts w:ascii="Arial" w:cs="Arial" w:eastAsia="Arial" w:hAnsi="Arial"/>
                <w:b/>
                <w:bCs/>
                <w:sz w:val="22"/>
                <w:szCs w:val="22"/>
              </w:rPr>
              <w:t xml:space="preserve">In a qualified pension or profit-sharing plan, the tax-deferred growth of plan investments primarily benefits: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The plan administrator</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The employer only</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The insurance company managing the plan</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C) The employees participating in the plan</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Tax-deferred growth in qualified retirement plans (401k, pension) primarily benefits plan participants (employees) because their retirement savings compound without annual taxation, producing significantly larger accumulations over time than taxable accounts.</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Q40.  </w:t>
            </w:r>
            <w:r>
              <w:rPr>
                <w:rFonts w:ascii="Arial" w:cs="Arial" w:eastAsia="Arial" w:hAnsi="Arial"/>
                <w:b/>
                <w:bCs/>
                <w:sz w:val="22"/>
                <w:szCs w:val="22"/>
              </w:rPr>
              <w:t xml:space="preserve">The value that each party gives to the other in a contract is called:</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Contribution</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Subrogation</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Valuation</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B) Consideration</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Consideration is the exchange of value that makes a contract legally binding. In life insurance: the insured's consideration is the premium and application; the insurer's consideration is the promise to pay the death benefit upon the insured's death.</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Q42.  </w:t>
            </w:r>
            <w:r>
              <w:rPr>
                <w:rFonts w:ascii="Arial" w:cs="Arial" w:eastAsia="Arial" w:hAnsi="Arial"/>
                <w:b/>
                <w:bCs/>
                <w:sz w:val="22"/>
                <w:szCs w:val="22"/>
              </w:rPr>
              <w:t xml:space="preserve">Under IRS rules, a qualified retirement plan must be established for the exclusive benefit of the firm's: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Shareholders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Retired employees only</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Key employees only</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B) Employees</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IRS qualification requirements (under ERISA and IRC Section 401(a)) mandate that qualified retirement plans be established and maintained for the exclusive benefit of employees and their beneficiaries. Plans that discriminate in favor of key employees or executives lose their qualified status.</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Q66.  </w:t>
            </w:r>
            <w:r>
              <w:rPr>
                <w:rFonts w:ascii="Arial" w:cs="Arial" w:eastAsia="Arial" w:hAnsi="Arial"/>
                <w:b/>
                <w:bCs/>
                <w:sz w:val="22"/>
                <w:szCs w:val="22"/>
              </w:rPr>
              <w:t xml:space="preserve">A direct transfer of funds from one IRA trustee to another IRA trustee of the same type is considered:</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A taxable distribution</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An early withdrawal subject to penalty</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Prohibited under IRS rules</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A) A nontaxable event</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A direct trustee-to-trustee transfer of IRA funds is a nontaxable event — the funds move directly between institutions without the account owner ever taking possession. This is different from a 60-day rollover, where the owner receives funds and must redeposit them within 60 days to avoid taxation.</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Q68.  </w:t>
            </w:r>
            <w:r>
              <w:rPr>
                <w:rFonts w:ascii="Arial" w:cs="Arial" w:eastAsia="Arial" w:hAnsi="Arial"/>
                <w:b/>
                <w:bCs/>
                <w:sz w:val="22"/>
                <w:szCs w:val="22"/>
              </w:rPr>
              <w:t xml:space="preserve">A student employed part-time has gross income of $1,500 for the year. What is the maximum deductible IRA contribution the student may make for the year?</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$0</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$3,000</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$7,000</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B) $1,500</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IRA contributions are limited to the lesser of the annual IRA limit (currently up to $7,000) or 100% of earned income. Since the student earned only $1,500, the maximum IRA contribution is $1,500 — the full amount of their earned income.</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Q76.  </w:t>
            </w:r>
            <w:r>
              <w:rPr>
                <w:rFonts w:ascii="Arial" w:cs="Arial" w:eastAsia="Arial" w:hAnsi="Arial"/>
                <w:b/>
                <w:bCs/>
                <w:sz w:val="22"/>
                <w:szCs w:val="22"/>
              </w:rPr>
              <w:t xml:space="preserve">In a Modified Endowment Contract (MEC), withdrawals are taxed on a:</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First-in, first-out basis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Pro-rata basis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Cost basis only</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B) Last-in, first-out basis</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MECs are taxed under LIFO (last-in, first-out) rules — earnings (interest/gains) are considered to come out first and are taxable as ordinary income. Additionally, withdrawals before age 59½ are subject to a 10% penalty. This contrasts with regular life insurance cash value, which uses FIFO treatment for withdrawals.</w:t>
            </w:r>
          </w:p>
        </w:tc>
      </w:tr>
    </w:tbl>
    <w:p>
      <w:pPr>
        <w:spacing w:after="120" w:before="0"/>
      </w:pPr>
    </w:p>
    <w:p>
      <w:r>
        <w:br w:type="page"/>
      </w:r>
    </w:p>
    <w:p>
      <w:pPr>
        <w:shd w:fill="1F4E79" w:val="clear"/>
        <w:spacing w:after="160" w:before="0"/>
      </w:pPr>
      <w:r>
        <w:rPr>
          <w:rFonts w:ascii="Arial" w:cs="Arial" w:eastAsia="Arial" w:hAnsi="Arial"/>
          <w:b/>
          <w:bCs/>
          <w:color w:val="FFFFFF"/>
          <w:sz w:val="28"/>
          <w:szCs w:val="28"/>
        </w:rPr>
        <w:t xml:space="preserve">  MARYLAND REGULATIONS &amp; PRODUCER ETHICS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Q5.  </w:t>
            </w:r>
            <w:r>
              <w:rPr>
                <w:rFonts w:ascii="Arial" w:cs="Arial" w:eastAsia="Arial" w:hAnsi="Arial"/>
                <w:b/>
                <w:bCs/>
                <w:sz w:val="22"/>
                <w:szCs w:val="22"/>
              </w:rPr>
              <w:t xml:space="preserve">The Maryland Insurance Administration may suspend a producer's license when the producer:</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Compares the benefits of competing policies for a client</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Sells policies from more than one insurer</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Charges the standard commission rate</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B) Rebates a portion of the commission to the insured</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Rebating — returning part of a commission to an insured as an inducement to purchase — is an unfair trade practice that can result in license suspension. Comparing policies, selling for multiple insurers, and charging standard commissions are all lawful practices.</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Q10.  </w:t>
            </w:r>
            <w:r>
              <w:rPr>
                <w:rFonts w:ascii="Arial" w:cs="Arial" w:eastAsia="Arial" w:hAnsi="Arial"/>
                <w:b/>
                <w:bCs/>
                <w:sz w:val="22"/>
                <w:szCs w:val="22"/>
              </w:rPr>
              <w:t xml:space="preserve">A producer who falsely states that a competing insurer is in financial difficulty and unable to pay claims is guilty of:</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Coercion</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Twisting</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Rebating</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B) Defamation</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Defamation (or disparagement) involves making false statements about a competitor's financial condition or ability to pay claims. It is an unfair trade practice. Twisting involves replacement through misrepresentation; rebating involves returning commissions.</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Q11.  </w:t>
            </w:r>
            <w:r>
              <w:rPr>
                <w:rFonts w:ascii="Arial" w:cs="Arial" w:eastAsia="Arial" w:hAnsi="Arial"/>
                <w:b/>
                <w:bCs/>
                <w:sz w:val="22"/>
                <w:szCs w:val="22"/>
              </w:rPr>
              <w:t xml:space="preserve">The Commissioner can deny or refuse to renew a license for an insurance producer if the applicant has done any of the following EXCEPT:</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Willfully violated the laws of the state that relate to insurance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Committed fraudulent or dishonest practices in the insurance business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Misappropriated or unlawfully withheld money that belongs to an insurer</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C) Unintentionally misrepresented a material fact in an application for the license</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License denial or non-renewal requires willful or intentional misconduct. Unintentional misrepresentation of a material fact — an honest mistake — is generally not grounds for denial. However, willful violations, fraud, and misappropriation of funds are all grounds for denial.</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Q12.  </w:t>
            </w:r>
            <w:r>
              <w:rPr>
                <w:rFonts w:ascii="Arial" w:cs="Arial" w:eastAsia="Arial" w:hAnsi="Arial"/>
                <w:b/>
                <w:bCs/>
                <w:sz w:val="22"/>
                <w:szCs w:val="22"/>
              </w:rPr>
              <w:t xml:space="preserve">All of the following would be considered an unfair trade practice EXCEPT:</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Misrepresenting policy benefits to induce a sale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Defaming a competing insurer</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Rebating part of a commission to an insured</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D) Sharing commissions with another producer who holds an equivalent license and lawfully participated in the sale</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Lawfully splitting commissions between licensed producers who both participated in a sale is a permitted business practice. Misrepresentation, defamation, and rebating are prohibited unfair trade practices.</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Q13.  </w:t>
            </w:r>
            <w:r>
              <w:rPr>
                <w:rFonts w:ascii="Arial" w:cs="Arial" w:eastAsia="Arial" w:hAnsi="Arial"/>
                <w:b/>
                <w:bCs/>
                <w:sz w:val="22"/>
                <w:szCs w:val="22"/>
              </w:rPr>
              <w:t xml:space="preserve">To provide the funds necessary to carry out its powers and duties, the Life and Health Insurance Guaranty Corporation's Board of Directors shall:</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Request a state appropriation</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Borrow funds from the Maryland Insurance Administration</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Sell guaranty bonds to the public</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D) Assess member insurers</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The Life and Health Insurance Guaranty Corporation is funded by assessing (charging) its member insurance companies — not by state appropriations or public bond sales. These assessments are used to pay claims when a member insurer becomes insolvent.</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Q15.  </w:t>
            </w:r>
            <w:r>
              <w:rPr>
                <w:rFonts w:ascii="Arial" w:cs="Arial" w:eastAsia="Arial" w:hAnsi="Arial"/>
                <w:b/>
                <w:bCs/>
                <w:sz w:val="22"/>
                <w:szCs w:val="22"/>
              </w:rPr>
              <w:t xml:space="preserve">All of the following practices by a producer are considered misrepresentations EXCEPT:</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Exaggerating the financial strength of the insurer</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Changing the title of the policy in the sales presentation</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Advising the client that the policy is a share of stock</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A) Comparing the benefits of several policies</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Truthfully comparing benefits of different policies is a legitimate and helpful practice. Exaggerating financial strength, misidentifying policy titles, and falsely calling a policy a stock are all forms of misrepresentation.</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Q16.  </w:t>
            </w:r>
            <w:r>
              <w:rPr>
                <w:rFonts w:ascii="Arial" w:cs="Arial" w:eastAsia="Arial" w:hAnsi="Arial"/>
                <w:b/>
                <w:bCs/>
                <w:sz w:val="22"/>
                <w:szCs w:val="22"/>
              </w:rPr>
              <w:t xml:space="preserve">An insurance producer who fails to handle premium funds in a trustworthy manner is guilty of:</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Restraint of trade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Violation of the financial responsibility law</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Failure to supervise representatives</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D) Failure to act as a fiduciary</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Producers hold premium funds in a fiduciary capacity — they must account for and promptly remit premiums to the insurer. Mishandling premium funds (commingling, delaying remittance, converting to personal use) is a breach of fiduciary duty and grounds for license action.</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Q21.  </w:t>
            </w:r>
            <w:r>
              <w:rPr>
                <w:rFonts w:ascii="Arial" w:cs="Arial" w:eastAsia="Arial" w:hAnsi="Arial"/>
                <w:b/>
                <w:bCs/>
                <w:sz w:val="22"/>
                <w:szCs w:val="22"/>
              </w:rPr>
              <w:t xml:space="preserve">Continuing education courses required for insurance producers in Maryland must be approved by:</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The producer's appointing insurer</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The National Association of Insurance Commissioners (NAIC)</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The producer's employer</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C) The Maryland Insurance Administration</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The Maryland Insurance Administration (MIA) approves all continuing education courses required for license renewal. Courses not approved by the MIA cannot be used to satisfy CE requirements regardless of who sponsors them.</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Q31.  </w:t>
            </w:r>
            <w:r>
              <w:rPr>
                <w:rFonts w:ascii="Arial" w:cs="Arial" w:eastAsia="Arial" w:hAnsi="Arial"/>
                <w:b/>
                <w:bCs/>
                <w:sz w:val="22"/>
                <w:szCs w:val="22"/>
              </w:rPr>
              <w:t xml:space="preserve">A person who, for compensation, examines a policy for the purpose of giving information about the terms and conditions of the policy is known as: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An insurance producer</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A broker</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An insurance adjuster</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A) An advisor</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An insurance adviser (consultant) is licensed to review policies and provide advice for a fee, without necessarily selling insurance. This is distinct from a producer (who sells and receives commissions) and an adjuster (who investigates and settles claims).</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Q36.  </w:t>
            </w:r>
            <w:r>
              <w:rPr>
                <w:rFonts w:ascii="Arial" w:cs="Arial" w:eastAsia="Arial" w:hAnsi="Arial"/>
                <w:b/>
                <w:bCs/>
                <w:sz w:val="22"/>
                <w:szCs w:val="22"/>
              </w:rPr>
              <w:t xml:space="preserve">A life insurance producer is normally responsible for all of the following EXCEPT:</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Soliciting applications for insurance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Collecting initial premiums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Delivering policies to policyowners</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C) Approving policies for issue on behalf of the insurer</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Policy approval and underwriting decisions are made by the insurer's home office underwriters — not producers. Producers solicit applications, collect initial premiums, and deliver policies, but they do not have authority to approve or bind life insurance coverage.</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Q38.  </w:t>
            </w:r>
            <w:r>
              <w:rPr>
                <w:rFonts w:ascii="Arial" w:cs="Arial" w:eastAsia="Arial" w:hAnsi="Arial"/>
                <w:b/>
                <w:bCs/>
                <w:sz w:val="22"/>
                <w:szCs w:val="22"/>
              </w:rPr>
              <w:t xml:space="preserve">A primary purpose of licensing insurance producers is to:</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Protect the Maryland Insurance Administration</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Accommodate the insurance companies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Safeguard the producer</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D) Protect the public</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The primary purpose of producer licensing is consumer protection — ensuring that people who sell insurance are qualified, competent, and honest. Licensing requirements (education, exams, background checks, CE) all serve the goal of protecting insurance-buying consumers.</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Q43.  </w:t>
            </w:r>
            <w:r>
              <w:rPr>
                <w:rFonts w:ascii="Arial" w:cs="Arial" w:eastAsia="Arial" w:hAnsi="Arial"/>
                <w:b/>
                <w:bCs/>
                <w:sz w:val="22"/>
                <w:szCs w:val="22"/>
              </w:rPr>
              <w:t xml:space="preserve">When must a life insurance producer provide an applicant with a Buyer's Guide and Policy Summary?</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Only if the applicant specifically requests one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Within 60 days after the policy anniversary</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Only for policies with a face amount over $100,000</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B) At or before the time the application is taken or the policy is delivered</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Maryland requires that producers provide applicants with an approved Buyer's Guide and Policy Summary at or before policy delivery (or at application for interest-sensitive policies). These documents help consumers compare and understand life insurance products.</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Q44.  </w:t>
            </w:r>
            <w:r>
              <w:rPr>
                <w:rFonts w:ascii="Arial" w:cs="Arial" w:eastAsia="Arial" w:hAnsi="Arial"/>
                <w:b/>
                <w:bCs/>
                <w:sz w:val="22"/>
                <w:szCs w:val="22"/>
              </w:rPr>
              <w:t xml:space="preserve">In general practice, which one of the following is true of the powers of the Maryland Insurance Administration with respect to access to a producer's business records?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Records can only be accessed by an order of a state court</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Authorization must come from the National Association of Insurance Commissioners (NAIC)</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The Maryland Insurance Administration has no right to access a producer's business records because of privacy considerations</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C) Records must be produced upon the request of the Maryland Insurance Administration</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The MIA has broad examination and audit authority over licensees. Producers must produce business records upon the MIA's request as part of its regulatory oversight function. No court order is required.</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Q50.  </w:t>
            </w:r>
            <w:r>
              <w:rPr>
                <w:rFonts w:ascii="Arial" w:cs="Arial" w:eastAsia="Arial" w:hAnsi="Arial"/>
                <w:b/>
                <w:bCs/>
                <w:sz w:val="22"/>
                <w:szCs w:val="22"/>
              </w:rPr>
              <w:t xml:space="preserve">Which license permits a producer to place business with insurers not authorized to transact business in Maryland?</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Limited lines license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Adjuster license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Consultant license</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D) Surplus lines license</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A surplus lines license allows a producer to place coverage with non-admitted (unauthorized) insurers when coverage cannot be obtained in the admitted market. Surplus lines carriers are not licensed in Maryland but may legally write business through licensed surplus lines producers.</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Q54.  </w:t>
            </w:r>
            <w:r>
              <w:rPr>
                <w:rFonts w:ascii="Arial" w:cs="Arial" w:eastAsia="Arial" w:hAnsi="Arial"/>
                <w:b/>
                <w:bCs/>
                <w:sz w:val="22"/>
                <w:szCs w:val="22"/>
              </w:rPr>
              <w:t xml:space="preserve">Which concept states that the insured is entitled to the coverage under a policy that a sensible and prudent buyer would expect it to provide?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Indemnity</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Comity</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Subrogation</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C) Reasonable expectations</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The doctrine of reasonable expectations protects policyholders by holding that they are entitled to the coverage a sensible buyer would reasonably expect, even if technical policy language might limit it. Courts often apply this doctrine when policy language is ambiguous.</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Q58.  </w:t>
            </w:r>
            <w:r>
              <w:rPr>
                <w:rFonts w:ascii="Arial" w:cs="Arial" w:eastAsia="Arial" w:hAnsi="Arial"/>
                <w:b/>
                <w:bCs/>
                <w:sz w:val="22"/>
                <w:szCs w:val="22"/>
              </w:rPr>
              <w:t xml:space="preserve">A producer who makes an incomplete comparison of policies to encourage an insured to cancel a contract of another insurer and purchase a new one is guilty of:</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Rebating</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Coercion</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Defamation</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C) Twisting</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Twisting uses misrepresentation or incomplete, misleading comparisons to induce a policyholder to replace an existing policy with a new one to their detriment. Complete, honest replacement comparisons are lawful.</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Q59.  </w:t>
            </w:r>
            <w:r>
              <w:rPr>
                <w:rFonts w:ascii="Arial" w:cs="Arial" w:eastAsia="Arial" w:hAnsi="Arial"/>
                <w:b/>
                <w:bCs/>
                <w:sz w:val="22"/>
                <w:szCs w:val="22"/>
              </w:rPr>
              <w:t xml:space="preserve">Maryland insurance companies must charge the same life insurance premium rate to individuals who are: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Of the same age, regardless of health</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Insured through the same producer</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Located in the same county</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A) Of the same class and equal life expectancy</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Anti-discrimination laws require insurers to charge the same rates to individuals of the same underwriting class (same risk characteristics including age, health, sex) and equal life expectancy. Charging different rates to same-class risks is unfair discrimination.</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Q62.  </w:t>
            </w:r>
            <w:r>
              <w:rPr>
                <w:rFonts w:ascii="Arial" w:cs="Arial" w:eastAsia="Arial" w:hAnsi="Arial"/>
                <w:b/>
                <w:bCs/>
                <w:sz w:val="22"/>
                <w:szCs w:val="22"/>
              </w:rPr>
              <w:t xml:space="preserve">Under federal law, an insurance producer may be sentenced to prison for:</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Comparing the rates of competing insurers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Refusing to renew an expiring policy</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Declining to write a high-risk applicant</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B) Embezzling money from an insurance company</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Embezzlement, wire fraud, mail fraud, and other criminal financial acts involving insurance companies are federal crimes that can result in imprisonment. Comparing rates, declining to renew, and refusing high-risk applicants are lawful business decisions (within anti-discrimination laws).</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Q63.  </w:t>
            </w:r>
            <w:r>
              <w:rPr>
                <w:rFonts w:ascii="Arial" w:cs="Arial" w:eastAsia="Arial" w:hAnsi="Arial"/>
                <w:b/>
                <w:bCs/>
                <w:sz w:val="22"/>
                <w:szCs w:val="22"/>
              </w:rPr>
              <w:t xml:space="preserve">All of the following are unfair claims settlement practices EXCEPT:</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Refusing arbitrarily and unreasonably to pay claims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Misrepresenting pertinent facts of coverage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Failing to promptly provide a reasonable explanation for a claim denial</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B) Attempting in good faith to compromise payment of a claim where coverage or liability is reasonably in question</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Good-faith compromise of a genuinely disputed claim is a legitimate and required practice. Arbitrary refusals to pay, misrepresenting coverage facts, and failing to explain denials are all prohibited unfair claims settlement practices.</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Q67.  </w:t>
            </w:r>
            <w:r>
              <w:rPr>
                <w:rFonts w:ascii="Arial" w:cs="Arial" w:eastAsia="Arial" w:hAnsi="Arial"/>
                <w:b/>
                <w:bCs/>
                <w:sz w:val="22"/>
                <w:szCs w:val="22"/>
              </w:rPr>
              <w:t xml:space="preserve">A producer is prohibited from:</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A) Selling insurance to a family member</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Countersigning a policy sold in Maryland</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Splitting commissions with a licensed nonresident producer who jointly sold the policy</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B) Allowing an applicant to sign a blank or incomplete application</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Allowing an applicant to sign a blank or incomplete application is strictly prohibited — it creates the opportunity for fraud because the producer could fill in false information after the applicant signs. All application information must be completed and reviewed before the applicant signs.</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Q86.  </w:t>
            </w:r>
            <w:r>
              <w:rPr>
                <w:rFonts w:ascii="Arial" w:cs="Arial" w:eastAsia="Arial" w:hAnsi="Arial"/>
                <w:b/>
                <w:bCs/>
                <w:sz w:val="22"/>
                <w:szCs w:val="22"/>
              </w:rPr>
              <w:t xml:space="preserve">In Maryland, when a producer becomes aware that a new policy will replace an existing policy, the required notice of replacement must be: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Given verbally only</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Filed only with the Maryland Insurance Administration</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Provided within 30 days after the policy is issued</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A) Signed by the applicant and producer</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Maryland's replacement regulations require that a Notice Regarding Replacement be completed and signed by both the applicant and the producer at the time of application. The signed notice must be provided to the applicant and a copy sent to the replacing insurer.</w:t>
            </w:r>
          </w:p>
        </w:tc>
      </w:tr>
    </w:tbl>
    <w:p>
      <w:pPr>
        <w:spacing w:after="12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4F7FA" w:val="clear"/>
            <w:tcMar>
              <w:top w:type="dxa" w:w="100"/>
              <w:left w:type="dxa" w:w="160"/>
              <w:bottom w:type="dxa" w:w="100"/>
              <w:right w:type="dxa" w:w="160"/>
            </w:tcMar>
          </w:tcPr>
          <w:p>
            <w:r>
              <w:rPr>
                <w:rFonts w:ascii="Arial" w:cs="Arial" w:eastAsia="Arial" w:hAnsi="Arial"/>
                <w:b/>
                <w:bCs/>
                <w:color w:val="1F4E79"/>
                <w:sz w:val="22"/>
                <w:szCs w:val="22"/>
              </w:rPr>
              <w:t xml:space="preserve">Q90.  </w:t>
            </w:r>
            <w:r>
              <w:rPr>
                <w:rFonts w:ascii="Arial" w:cs="Arial" w:eastAsia="Arial" w:hAnsi="Arial"/>
                <w:b/>
                <w:bCs/>
                <w:sz w:val="22"/>
                <w:szCs w:val="22"/>
              </w:rPr>
              <w:t xml:space="preserve">Which of the following best describes 'twisting' in the context of life insurance sales?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B) Offering a rebate to induce a sale</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C) Defaming a competing insurer</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80"/>
              <w:bottom w:type="dxa" w:w="60"/>
              <w:right w:type="dxa" w:w="160"/>
            </w:tcMar>
          </w:tcPr>
          <w:p>
            <w:r>
              <w:rPr>
                <w:rFonts w:ascii="Arial" w:cs="Arial" w:eastAsia="Arial" w:hAnsi="Arial"/>
                <w:color w:val="666666"/>
                <w:sz w:val="21"/>
                <w:szCs w:val="21"/>
              </w:rPr>
              <w:t xml:space="preserve">D) Failing to disclose policy fees</w:t>
            </w:r>
          </w:p>
        </w:tc>
      </w:tr>
      <w:tr>
        <w:tc>
          <w:tcPr>
            <w:tcW w:type="dxa" w:w="9360"/>
            <w:tcBorders>
              <w:top w:val="single" w:color="CCCCCC" w:sz="1"/>
              <w:left w:val="single" w:color="CCCCCC" w:sz="1"/>
              <w:bottom w:val="single" w:color="CCCCCC" w:sz="1"/>
              <w:right w:val="single" w:color="CCCCCC" w:sz="1"/>
            </w:tcBorders>
            <w:shd w:fill="E8F5EC" w:val="clear"/>
            <w:tcMar>
              <w:top w:type="dxa" w:w="80"/>
              <w:left w:type="dxa" w:w="280"/>
              <w:bottom w:type="dxa" w:w="80"/>
              <w:right w:type="dxa" w:w="160"/>
            </w:tcMar>
          </w:tcPr>
          <w:p>
            <w:r>
              <w:rPr>
                <w:rFonts w:ascii="Arial" w:cs="Arial" w:eastAsia="Arial" w:hAnsi="Arial"/>
                <w:b/>
                <w:bCs/>
                <w:color w:val="1A6B3A"/>
                <w:sz w:val="22"/>
                <w:szCs w:val="22"/>
              </w:rPr>
              <w:t xml:space="preserve">✔  </w:t>
            </w:r>
            <w:r>
              <w:rPr>
                <w:rFonts w:ascii="Arial" w:cs="Arial" w:eastAsia="Arial" w:hAnsi="Arial"/>
                <w:b/>
                <w:bCs/>
                <w:color w:val="1A6B3A"/>
                <w:sz w:val="22"/>
                <w:szCs w:val="22"/>
              </w:rPr>
              <w:t xml:space="preserve">A) Persuading a policyholder, through misrepresentation, to drop an existing policy and purchase a new one</w:t>
            </w:r>
          </w:p>
        </w:tc>
      </w:tr>
      <w:tr>
        <w:tc>
          <w:tcPr>
            <w:tcW w:type="dxa" w:w="9360"/>
            <w:tcBorders>
              <w:top w:val="single" w:color="CCCCCC" w:sz="1"/>
              <w:left w:val="single" w:color="CCCCCC" w:sz="1"/>
              <w:bottom w:val="single" w:color="CCCCCC" w:sz="1"/>
              <w:right w:val="single" w:color="CCCCCC" w:sz="1"/>
            </w:tcBorders>
            <w:shd w:fill="EBF3FB" w:val="clear"/>
            <w:tcMar>
              <w:top w:type="dxa" w:w="80"/>
              <w:left w:type="dxa" w:w="160"/>
              <w:bottom w:type="dxa" w:w="100"/>
              <w:right w:type="dxa" w:w="160"/>
            </w:tcMar>
          </w:tcPr>
          <w:p>
            <w:r>
              <w:rPr>
                <w:rFonts w:ascii="Arial" w:cs="Arial" w:eastAsia="Arial" w:hAnsi="Arial"/>
                <w:b/>
                <w:bCs/>
                <w:color w:val="1F4E79"/>
                <w:sz w:val="20"/>
                <w:szCs w:val="20"/>
              </w:rPr>
              <w:t xml:space="preserve">Why: </w:t>
            </w:r>
            <w:r>
              <w:rPr>
                <w:rFonts w:ascii="Arial" w:cs="Arial" w:eastAsia="Arial" w:hAnsi="Arial"/>
                <w:color w:val="2C3E50"/>
                <w:sz w:val="20"/>
                <w:szCs w:val="20"/>
              </w:rPr>
              <w:t xml:space="preserve">Twisting is the use of misrepresentation, incomplete information, or misleading comparisons to induce a policyholder to replace an existing policy with a new one — typically to generate new commissions for the producer at the insured's expense. It is an unfair trade practice in all states.</w:t>
            </w:r>
          </w:p>
        </w:tc>
      </w:tr>
    </w:tbl>
    <w:p>
      <w:pPr>
        <w:spacing w:after="120" w:before="0"/>
      </w:pPr>
    </w:p>
    <w:sectPr>
      <w:pgSz w:w="12240" w:h="15840"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2026-06-21T15:34:46.412Z</dcterms:created>
  <dcterms:modified xsi:type="dcterms:W3CDTF">2026-06-21T15:34:46.412Z</dcterms:modified>
</cp:coreProperties>
</file>

<file path=docProps/custom.xml><?xml version="1.0" encoding="utf-8"?>
<Properties xmlns="http://schemas.openxmlformats.org/officeDocument/2006/custom-properties" xmlns:vt="http://schemas.openxmlformats.org/officeDocument/2006/docPropsVTypes"/>
</file>